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7F334">
      <w:pPr>
        <w:autoSpaceDE w:val="0"/>
        <w:autoSpaceDN w:val="0"/>
        <w:spacing w:line="700" w:lineRule="exact"/>
        <w:jc w:val="center"/>
        <w:rPr>
          <w:rFonts w:ascii="方正小标宋_GBK" w:hAnsi="方正小标宋_GBK" w:eastAsia="方正小标宋_GBK" w:cs="方正小标宋_GBK"/>
          <w:kern w:val="0"/>
          <w:sz w:val="44"/>
          <w:szCs w:val="22"/>
        </w:rPr>
      </w:pPr>
      <w:r>
        <w:rPr>
          <w:rFonts w:hint="eastAsia" w:ascii="方正小标宋_GBK" w:hAnsi="方正小标宋_GBK" w:eastAsia="方正小标宋_GBK" w:cs="方正小标宋_GBK"/>
          <w:w w:val="95"/>
          <w:sz w:val="44"/>
          <w:szCs w:val="44"/>
        </w:rPr>
        <w:t>眉山职业技术学院</w:t>
      </w:r>
      <w:r>
        <w:rPr>
          <w:rFonts w:hint="eastAsia" w:ascii="方正小标宋_GBK" w:hAnsi="方正小标宋_GBK" w:eastAsia="方正小标宋_GBK" w:cs="方正小标宋_GBK"/>
          <w:w w:val="95"/>
          <w:kern w:val="0"/>
          <w:sz w:val="44"/>
          <w:szCs w:val="22"/>
        </w:rPr>
        <w:t>学生申诉处理办法</w:t>
      </w:r>
    </w:p>
    <w:p w14:paraId="7789E788">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r>
        <w:rPr>
          <w:rFonts w:hint="eastAsia" w:ascii="楷体" w:hAnsi="楷体" w:eastAsia="楷体" w:cs="楷体"/>
          <w:sz w:val="32"/>
          <w:szCs w:val="32"/>
          <w:lang w:eastAsia="zh-CN"/>
        </w:rPr>
        <w:t>）</w:t>
      </w:r>
    </w:p>
    <w:p w14:paraId="234F9B4B">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ascii="黑体" w:hAnsi="仿宋" w:eastAsia="仿宋" w:cs="仿宋"/>
          <w:sz w:val="44"/>
          <w:szCs w:val="30"/>
        </w:rPr>
      </w:pPr>
    </w:p>
    <w:p w14:paraId="6C4587F8">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 w:hAnsi="仿宋" w:eastAsia="仿宋" w:cs="仿宋"/>
          <w:sz w:val="32"/>
          <w:szCs w:val="32"/>
        </w:rPr>
      </w:pPr>
      <w:r>
        <w:rPr>
          <w:rFonts w:hint="eastAsia" w:ascii="楷体" w:hAnsi="楷体" w:eastAsia="黑体" w:cs="仿宋"/>
          <w:sz w:val="32"/>
          <w:szCs w:val="32"/>
        </w:rPr>
        <w:t xml:space="preserve">第一条 </w:t>
      </w:r>
      <w:r>
        <w:rPr>
          <w:rFonts w:hint="eastAsia" w:ascii="仿宋" w:hAnsi="仿宋" w:eastAsia="仿宋" w:cs="仿宋"/>
          <w:sz w:val="32"/>
          <w:szCs w:val="32"/>
        </w:rPr>
        <w:t>为维护学生的合法权益，规范学生申诉处理工作，根据《中华人民共和国教育法》《中华人民共和国高等教育法》和《普通高等学校学生管理规定》等有关法律、法规和规章，结合学校工作实际，制定本办法。</w:t>
      </w:r>
    </w:p>
    <w:p w14:paraId="157255FD">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楷体" w:hAnsi="仿宋" w:eastAsia="黑体" w:cs="仿宋"/>
          <w:sz w:val="32"/>
          <w:szCs w:val="32"/>
        </w:rPr>
      </w:pPr>
      <w:r>
        <w:rPr>
          <w:rFonts w:hint="eastAsia" w:ascii="楷体" w:hAnsi="仿宋" w:eastAsia="黑体" w:cs="仿宋"/>
          <w:sz w:val="32"/>
          <w:szCs w:val="32"/>
        </w:rPr>
        <w:t xml:space="preserve">第二条 </w:t>
      </w:r>
      <w:r>
        <w:rPr>
          <w:rFonts w:hint="eastAsia" w:ascii="仿宋" w:hAnsi="仿宋" w:eastAsia="仿宋" w:cs="仿宋"/>
          <w:sz w:val="32"/>
          <w:szCs w:val="32"/>
        </w:rPr>
        <w:t>本办法适用于本校全日制在籍学生的个人申诉。</w:t>
      </w:r>
      <w:r>
        <w:rPr>
          <w:rFonts w:ascii="仿宋" w:hAnsi="仿宋" w:eastAsia="仿宋" w:cs="仿宋"/>
          <w:sz w:val="32"/>
          <w:szCs w:val="32"/>
        </w:rPr>
        <w:t>本</w:t>
      </w:r>
      <w:r>
        <w:rPr>
          <w:rFonts w:hint="eastAsia" w:ascii="仿宋" w:hAnsi="仿宋" w:eastAsia="仿宋" w:cs="仿宋"/>
          <w:sz w:val="32"/>
          <w:szCs w:val="32"/>
        </w:rPr>
        <w:t>办法</w:t>
      </w:r>
      <w:r>
        <w:rPr>
          <w:rFonts w:ascii="仿宋" w:hAnsi="仿宋" w:eastAsia="仿宋" w:cs="仿宋"/>
          <w:sz w:val="32"/>
          <w:szCs w:val="32"/>
        </w:rPr>
        <w:t>所称申诉，是指学生</w:t>
      </w:r>
      <w:r>
        <w:rPr>
          <w:rFonts w:hint="eastAsia" w:ascii="仿宋" w:hAnsi="仿宋" w:eastAsia="仿宋" w:cs="仿宋"/>
          <w:sz w:val="32"/>
          <w:szCs w:val="32"/>
        </w:rPr>
        <w:t>对学校给予的处理或者处分有异议而提出的诉求申请。</w:t>
      </w:r>
    </w:p>
    <w:p w14:paraId="0640BEB1">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楷体" w:hAnsi="仿宋" w:eastAsia="黑体" w:cs="仿宋"/>
          <w:sz w:val="32"/>
          <w:szCs w:val="32"/>
        </w:rPr>
      </w:pPr>
      <w:r>
        <w:rPr>
          <w:rFonts w:hint="eastAsia" w:ascii="楷体" w:hAnsi="仿宋" w:eastAsia="黑体" w:cs="仿宋"/>
          <w:sz w:val="32"/>
          <w:szCs w:val="32"/>
        </w:rPr>
        <w:t xml:space="preserve">第三条 </w:t>
      </w:r>
      <w:r>
        <w:rPr>
          <w:rFonts w:hint="eastAsia" w:ascii="仿宋" w:hAnsi="仿宋" w:eastAsia="仿宋" w:cs="仿宋"/>
          <w:sz w:val="32"/>
          <w:szCs w:val="32"/>
        </w:rPr>
        <w:t>学生除行使校内申诉权外，还可以依照《普通高等学校学生管理规定》等规定，依法向上级行政机关提出申诉、行政复议或者直接向人民法院提起行政诉讼、民事诉讼。</w:t>
      </w:r>
    </w:p>
    <w:p w14:paraId="5B0D56E8">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 w:hAnsi="仿宋" w:eastAsia="仿宋" w:cs="仿宋"/>
          <w:sz w:val="32"/>
          <w:szCs w:val="32"/>
        </w:rPr>
      </w:pPr>
      <w:r>
        <w:rPr>
          <w:rFonts w:hint="eastAsia" w:ascii="楷体" w:hAnsi="仿宋" w:eastAsia="黑体" w:cs="仿宋"/>
          <w:sz w:val="32"/>
          <w:szCs w:val="32"/>
        </w:rPr>
        <w:t>第</w:t>
      </w:r>
      <w:r>
        <w:rPr>
          <w:rFonts w:hint="eastAsia" w:ascii="楷体" w:hAnsi="仿宋" w:eastAsia="黑体" w:cs="仿宋"/>
          <w:sz w:val="32"/>
          <w:szCs w:val="32"/>
          <w:lang w:val="en-US" w:eastAsia="zh-CN"/>
        </w:rPr>
        <w:t>四</w:t>
      </w:r>
      <w:r>
        <w:rPr>
          <w:rFonts w:hint="eastAsia" w:ascii="楷体" w:hAnsi="仿宋" w:eastAsia="黑体" w:cs="仿宋"/>
          <w:sz w:val="32"/>
          <w:szCs w:val="32"/>
        </w:rPr>
        <w:t xml:space="preserve">条 </w:t>
      </w:r>
      <w:r>
        <w:rPr>
          <w:rFonts w:ascii="仿宋" w:hAnsi="仿宋" w:eastAsia="仿宋" w:cs="仿宋"/>
          <w:sz w:val="32"/>
          <w:szCs w:val="32"/>
        </w:rPr>
        <w:t>学生应坚持严肃、认真、诚实的原则提出申诉；学校应坚持合法、公开、公正、及时和有错必纠的原则处理学生的申诉。</w:t>
      </w:r>
    </w:p>
    <w:p w14:paraId="10FF84B6">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 w:hAnsi="仿宋" w:eastAsia="仿宋" w:cs="仿宋"/>
          <w:sz w:val="32"/>
          <w:szCs w:val="32"/>
        </w:rPr>
      </w:pPr>
      <w:r>
        <w:rPr>
          <w:rFonts w:hint="eastAsia" w:ascii="楷体" w:hAnsi="仿宋" w:eastAsia="黑体" w:cs="仿宋"/>
          <w:sz w:val="32"/>
          <w:szCs w:val="32"/>
        </w:rPr>
        <w:t>第</w:t>
      </w:r>
      <w:r>
        <w:rPr>
          <w:rFonts w:hint="eastAsia" w:ascii="楷体" w:hAnsi="仿宋" w:eastAsia="黑体" w:cs="仿宋"/>
          <w:sz w:val="32"/>
          <w:szCs w:val="32"/>
          <w:lang w:val="en-US" w:eastAsia="zh-CN"/>
        </w:rPr>
        <w:t>五</w:t>
      </w:r>
      <w:r>
        <w:rPr>
          <w:rFonts w:hint="eastAsia" w:ascii="楷体" w:hAnsi="仿宋" w:eastAsia="黑体" w:cs="仿宋"/>
          <w:sz w:val="32"/>
          <w:szCs w:val="32"/>
        </w:rPr>
        <w:t xml:space="preserve">条 </w:t>
      </w:r>
      <w:r>
        <w:rPr>
          <w:rFonts w:hint="eastAsia" w:ascii="仿宋" w:hAnsi="仿宋" w:eastAsia="仿宋" w:cs="仿宋"/>
          <w:sz w:val="32"/>
          <w:szCs w:val="32"/>
        </w:rPr>
        <w:t>学校学生申诉处理委员会是受理学生申诉的议事协调机构，</w:t>
      </w:r>
      <w:r>
        <w:rPr>
          <w:rFonts w:hint="eastAsia" w:ascii="仿宋" w:hAnsi="仿宋" w:eastAsia="仿宋" w:cs="仿宋"/>
          <w:sz w:val="32"/>
          <w:szCs w:val="32"/>
          <w:lang w:val="en-US" w:eastAsia="zh-CN"/>
        </w:rPr>
        <w:t>学校</w:t>
      </w:r>
      <w:r>
        <w:rPr>
          <w:rFonts w:hint="eastAsia" w:ascii="仿宋" w:hAnsi="仿宋" w:eastAsia="仿宋" w:cs="仿宋"/>
          <w:sz w:val="32"/>
          <w:szCs w:val="32"/>
        </w:rPr>
        <w:t>学生申诉处理委员会办公室设在党政办公室，负责</w:t>
      </w:r>
      <w:r>
        <w:rPr>
          <w:rFonts w:hint="eastAsia" w:ascii="仿宋" w:hAnsi="仿宋" w:eastAsia="仿宋" w:cs="仿宋"/>
          <w:sz w:val="32"/>
          <w:szCs w:val="32"/>
          <w:lang w:val="en-US" w:eastAsia="zh-CN"/>
        </w:rPr>
        <w:t>学校</w:t>
      </w:r>
      <w:r>
        <w:rPr>
          <w:rFonts w:hint="eastAsia" w:ascii="仿宋" w:hAnsi="仿宋" w:eastAsia="仿宋" w:cs="仿宋"/>
          <w:sz w:val="32"/>
          <w:szCs w:val="32"/>
        </w:rPr>
        <w:t>学生申诉处理委员会日常事务。</w:t>
      </w:r>
    </w:p>
    <w:p w14:paraId="37E38D48">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 w:hAnsi="仿宋" w:eastAsia="仿宋" w:cs="仿宋"/>
          <w:sz w:val="32"/>
          <w:szCs w:val="32"/>
        </w:rPr>
      </w:pPr>
      <w:bookmarkStart w:id="0" w:name="_Hlk178170155"/>
      <w:r>
        <w:rPr>
          <w:rFonts w:hint="eastAsia" w:ascii="仿宋" w:hAnsi="仿宋" w:eastAsia="仿宋" w:cs="仿宋"/>
          <w:sz w:val="32"/>
          <w:szCs w:val="32"/>
        </w:rPr>
        <w:t>学校学生申诉处理委员会组成人数为单数，由学校领导、党政办公室、纪委办公室、学生工作部、教务处、团委等部门负责人以及教师代表、学生代表、法律顾问等组成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学校</w:t>
      </w:r>
      <w:r>
        <w:rPr>
          <w:rFonts w:hint="eastAsia" w:ascii="仿宋" w:hAnsi="仿宋" w:eastAsia="仿宋" w:cs="仿宋"/>
          <w:sz w:val="32"/>
          <w:szCs w:val="32"/>
        </w:rPr>
        <w:t>学生</w:t>
      </w:r>
      <w:r>
        <w:rPr>
          <w:rFonts w:hint="eastAsia" w:ascii="仿宋" w:hAnsi="仿宋" w:eastAsia="仿宋" w:cs="仿宋"/>
          <w:sz w:val="32"/>
          <w:szCs w:val="32"/>
          <w:lang w:val="en-US" w:eastAsia="zh-CN"/>
        </w:rPr>
        <w:t>申</w:t>
      </w:r>
      <w:r>
        <w:rPr>
          <w:rFonts w:hint="eastAsia" w:ascii="仿宋" w:hAnsi="仿宋" w:eastAsia="仿宋" w:cs="仿宋"/>
          <w:sz w:val="32"/>
          <w:szCs w:val="32"/>
        </w:rPr>
        <w:t>诉处理委员会中的教师代表由组织人事部推荐，学生代表由团委推荐，法律顾问由党政办公室从学校常年法律顾问中遴选，人数应不少于委员总人数的三分之一。</w:t>
      </w:r>
      <w:r>
        <w:rPr>
          <w:rFonts w:hint="eastAsia" w:ascii="仿宋" w:hAnsi="仿宋" w:eastAsia="仿宋" w:cs="仿宋"/>
          <w:sz w:val="32"/>
          <w:szCs w:val="32"/>
          <w:lang w:eastAsia="zh-CN"/>
        </w:rPr>
        <w:t>学生申诉</w:t>
      </w:r>
      <w:r>
        <w:rPr>
          <w:rFonts w:hint="eastAsia" w:ascii="仿宋" w:hAnsi="仿宋" w:eastAsia="仿宋" w:cs="仿宋"/>
          <w:sz w:val="32"/>
          <w:szCs w:val="32"/>
        </w:rPr>
        <w:t>处理委员会设主任 1 名，副主任</w:t>
      </w:r>
      <w:r>
        <w:rPr>
          <w:rFonts w:hint="eastAsia" w:ascii="仿宋" w:hAnsi="仿宋" w:eastAsia="仿宋" w:cs="仿宋"/>
          <w:sz w:val="32"/>
          <w:szCs w:val="32"/>
          <w:lang w:val="en-US" w:eastAsia="zh-CN"/>
        </w:rPr>
        <w:t xml:space="preserve"> </w:t>
      </w:r>
      <w:r>
        <w:rPr>
          <w:rFonts w:ascii="仿宋" w:hAnsi="仿宋" w:eastAsia="仿宋" w:cs="仿宋"/>
          <w:sz w:val="32"/>
          <w:szCs w:val="32"/>
        </w:rPr>
        <w:t>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名。主任由分管党政办公室的校领导担任，副主任由党政办公室负责人担任。</w:t>
      </w:r>
    </w:p>
    <w:bookmarkEnd w:id="0"/>
    <w:p w14:paraId="21653E8A">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学校学生申诉处理委员会委员任期为两年，可连任。</w:t>
      </w:r>
    </w:p>
    <w:p w14:paraId="3CCB373D">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学校学生申诉处理委员会及其办公室具体人员组成及职能职责，按照学校议事协调机构管理办法，报学校党委会审定后公布。</w:t>
      </w:r>
    </w:p>
    <w:p w14:paraId="0E193B69">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 w:hAnsi="仿宋" w:eastAsia="仿宋" w:cs="仿宋"/>
          <w:sz w:val="32"/>
          <w:szCs w:val="32"/>
        </w:rPr>
      </w:pPr>
      <w:r>
        <w:rPr>
          <w:rFonts w:hint="eastAsia" w:ascii="楷体" w:hAnsi="楷体" w:eastAsia="黑体" w:cs="楷体"/>
          <w:sz w:val="32"/>
          <w:szCs w:val="32"/>
        </w:rPr>
        <w:t>第</w:t>
      </w:r>
      <w:r>
        <w:rPr>
          <w:rFonts w:hint="eastAsia" w:ascii="楷体" w:hAnsi="楷体" w:eastAsia="黑体" w:cs="楷体"/>
          <w:sz w:val="32"/>
          <w:szCs w:val="32"/>
          <w:lang w:val="en-US" w:eastAsia="zh-CN"/>
        </w:rPr>
        <w:t>六</w:t>
      </w:r>
      <w:r>
        <w:rPr>
          <w:rFonts w:hint="eastAsia" w:ascii="楷体" w:hAnsi="楷体" w:eastAsia="黑体" w:cs="楷体"/>
          <w:sz w:val="32"/>
          <w:szCs w:val="32"/>
        </w:rPr>
        <w:t>条</w:t>
      </w:r>
      <w:r>
        <w:rPr>
          <w:rFonts w:hint="eastAsia" w:ascii="仿宋" w:hAnsi="仿宋" w:eastAsia="仿宋" w:cs="仿宋"/>
          <w:sz w:val="32"/>
          <w:szCs w:val="32"/>
        </w:rPr>
        <w:t xml:space="preserve"> 学生收到下列处分（处理），可以向学校学生申诉处理委员会提起申诉：</w:t>
      </w:r>
    </w:p>
    <w:p w14:paraId="7908D6D3">
      <w:pPr>
        <w:keepNext w:val="0"/>
        <w:keepLines w:val="0"/>
        <w:pageBreakBefore w:val="0"/>
        <w:widowControl w:val="0"/>
        <w:kinsoku/>
        <w:wordWrap/>
        <w:overflowPunct/>
        <w:topLinePunct w:val="0"/>
        <w:autoSpaceDE w:val="0"/>
        <w:autoSpaceDN w:val="0"/>
        <w:bidi w:val="0"/>
        <w:adjustRightInd/>
        <w:snapToGrid/>
        <w:spacing w:line="580" w:lineRule="exact"/>
        <w:ind w:firstLine="624" w:firstLineChars="200"/>
        <w:textAlignment w:val="auto"/>
        <w:rPr>
          <w:rFonts w:ascii="仿宋" w:hAnsi="仿宋" w:eastAsia="仿宋" w:cs="仿宋"/>
          <w:sz w:val="32"/>
          <w:szCs w:val="32"/>
        </w:rPr>
      </w:pPr>
      <w:r>
        <w:rPr>
          <w:rFonts w:hint="eastAsia" w:ascii="楷体" w:hAnsi="楷体" w:eastAsia="楷体" w:cs="楷体"/>
          <w:spacing w:val="-4"/>
          <w:kern w:val="0"/>
          <w:sz w:val="32"/>
          <w:szCs w:val="32"/>
          <w:lang w:val="en-US" w:eastAsia="zh-CN" w:bidi="ar-SA"/>
        </w:rPr>
        <w:t>（一）</w:t>
      </w:r>
      <w:r>
        <w:rPr>
          <w:rFonts w:hint="eastAsia" w:ascii="仿宋" w:hAnsi="仿宋" w:eastAsia="仿宋" w:cs="仿宋"/>
          <w:sz w:val="32"/>
          <w:szCs w:val="32"/>
        </w:rPr>
        <w:t>对学生本人作出的警告、严重警告、记过、留校察看、开除学籍等纪律处分；</w:t>
      </w:r>
    </w:p>
    <w:p w14:paraId="632658E2">
      <w:pPr>
        <w:keepNext w:val="0"/>
        <w:keepLines w:val="0"/>
        <w:pageBreakBefore w:val="0"/>
        <w:widowControl w:val="0"/>
        <w:kinsoku/>
        <w:wordWrap/>
        <w:overflowPunct/>
        <w:topLinePunct w:val="0"/>
        <w:autoSpaceDE w:val="0"/>
        <w:autoSpaceDN w:val="0"/>
        <w:bidi w:val="0"/>
        <w:adjustRightInd/>
        <w:snapToGrid/>
        <w:spacing w:line="580" w:lineRule="exact"/>
        <w:ind w:firstLine="624" w:firstLineChars="200"/>
        <w:textAlignment w:val="auto"/>
        <w:rPr>
          <w:rFonts w:ascii="仿宋" w:hAnsi="仿宋" w:eastAsia="仿宋" w:cs="仿宋"/>
          <w:sz w:val="32"/>
          <w:szCs w:val="32"/>
        </w:rPr>
      </w:pPr>
      <w:r>
        <w:rPr>
          <w:rFonts w:hint="eastAsia" w:ascii="楷体" w:hAnsi="楷体" w:eastAsia="楷体" w:cs="楷体"/>
          <w:spacing w:val="-4"/>
          <w:kern w:val="0"/>
          <w:sz w:val="32"/>
          <w:szCs w:val="32"/>
          <w:lang w:val="en-US" w:eastAsia="zh-CN" w:bidi="ar-SA"/>
        </w:rPr>
        <w:t>（二）</w:t>
      </w:r>
      <w:r>
        <w:rPr>
          <w:rFonts w:hint="eastAsia" w:ascii="仿宋" w:hAnsi="仿宋" w:eastAsia="仿宋" w:cs="仿宋"/>
          <w:sz w:val="32"/>
          <w:szCs w:val="32"/>
        </w:rPr>
        <w:t>取消入学资格；</w:t>
      </w:r>
    </w:p>
    <w:p w14:paraId="512CB63C">
      <w:pPr>
        <w:keepNext w:val="0"/>
        <w:keepLines w:val="0"/>
        <w:pageBreakBefore w:val="0"/>
        <w:widowControl w:val="0"/>
        <w:kinsoku/>
        <w:wordWrap/>
        <w:overflowPunct/>
        <w:topLinePunct w:val="0"/>
        <w:autoSpaceDE w:val="0"/>
        <w:autoSpaceDN w:val="0"/>
        <w:bidi w:val="0"/>
        <w:adjustRightInd/>
        <w:snapToGrid/>
        <w:spacing w:line="580" w:lineRule="exact"/>
        <w:ind w:firstLine="624" w:firstLineChars="200"/>
        <w:textAlignment w:val="auto"/>
        <w:rPr>
          <w:rFonts w:ascii="仿宋" w:hAnsi="仿宋" w:eastAsia="仿宋" w:cs="仿宋"/>
          <w:sz w:val="32"/>
          <w:szCs w:val="32"/>
        </w:rPr>
      </w:pPr>
      <w:r>
        <w:rPr>
          <w:rFonts w:hint="eastAsia" w:ascii="楷体" w:hAnsi="楷体" w:eastAsia="楷体" w:cs="楷体"/>
          <w:spacing w:val="-4"/>
          <w:kern w:val="0"/>
          <w:sz w:val="32"/>
          <w:szCs w:val="32"/>
          <w:lang w:val="en-US" w:eastAsia="zh-CN" w:bidi="ar-SA"/>
        </w:rPr>
        <w:t>（三）</w:t>
      </w:r>
      <w:r>
        <w:rPr>
          <w:rFonts w:hint="eastAsia" w:ascii="仿宋" w:hAnsi="仿宋" w:eastAsia="仿宋" w:cs="仿宋"/>
          <w:sz w:val="32"/>
          <w:szCs w:val="32"/>
        </w:rPr>
        <w:t>退学处理；</w:t>
      </w:r>
    </w:p>
    <w:p w14:paraId="3B57F75C">
      <w:pPr>
        <w:keepNext w:val="0"/>
        <w:keepLines w:val="0"/>
        <w:pageBreakBefore w:val="0"/>
        <w:widowControl w:val="0"/>
        <w:kinsoku/>
        <w:wordWrap/>
        <w:overflowPunct/>
        <w:topLinePunct w:val="0"/>
        <w:autoSpaceDE w:val="0"/>
        <w:autoSpaceDN w:val="0"/>
        <w:bidi w:val="0"/>
        <w:adjustRightInd/>
        <w:snapToGrid/>
        <w:spacing w:line="580" w:lineRule="exact"/>
        <w:ind w:firstLine="624" w:firstLineChars="200"/>
        <w:textAlignment w:val="auto"/>
        <w:rPr>
          <w:rFonts w:ascii="仿宋" w:hAnsi="仿宋" w:eastAsia="仿宋" w:cs="仿宋"/>
          <w:sz w:val="32"/>
          <w:szCs w:val="32"/>
        </w:rPr>
      </w:pPr>
      <w:r>
        <w:rPr>
          <w:rFonts w:hint="eastAsia" w:ascii="楷体" w:hAnsi="楷体" w:eastAsia="楷体" w:cs="楷体"/>
          <w:spacing w:val="-4"/>
          <w:kern w:val="0"/>
          <w:sz w:val="32"/>
          <w:szCs w:val="32"/>
          <w:lang w:val="en-US" w:eastAsia="zh-CN" w:bidi="ar-SA"/>
        </w:rPr>
        <w:t>（四）</w:t>
      </w:r>
      <w:r>
        <w:rPr>
          <w:rFonts w:ascii="仿宋" w:hAnsi="仿宋" w:eastAsia="仿宋" w:cs="仿宋"/>
          <w:sz w:val="32"/>
          <w:szCs w:val="32"/>
        </w:rPr>
        <w:t>法律、法规规定可以提出申诉的其</w:t>
      </w:r>
      <w:r>
        <w:rPr>
          <w:rFonts w:hint="eastAsia" w:ascii="仿宋" w:hAnsi="仿宋" w:eastAsia="仿宋" w:cs="仿宋"/>
          <w:sz w:val="32"/>
          <w:szCs w:val="32"/>
          <w:lang w:val="en-US" w:eastAsia="zh-CN"/>
        </w:rPr>
        <w:t>他</w:t>
      </w:r>
      <w:r>
        <w:rPr>
          <w:rFonts w:ascii="仿宋" w:hAnsi="仿宋" w:eastAsia="仿宋" w:cs="仿宋"/>
          <w:sz w:val="32"/>
          <w:szCs w:val="32"/>
        </w:rPr>
        <w:t>处理决定。</w:t>
      </w:r>
    </w:p>
    <w:p w14:paraId="597021E4">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 w:hAnsi="仿宋" w:eastAsia="仿宋" w:cs="仿宋"/>
          <w:sz w:val="32"/>
          <w:szCs w:val="32"/>
        </w:rPr>
      </w:pPr>
      <w:r>
        <w:rPr>
          <w:rFonts w:hint="eastAsia" w:ascii="楷体" w:hAnsi="仿宋" w:eastAsia="黑体" w:cs="仿宋"/>
          <w:kern w:val="0"/>
          <w:sz w:val="32"/>
          <w:szCs w:val="32"/>
        </w:rPr>
        <w:t>第</w:t>
      </w:r>
      <w:r>
        <w:rPr>
          <w:rFonts w:hint="eastAsia" w:ascii="楷体" w:hAnsi="仿宋" w:eastAsia="黑体" w:cs="仿宋"/>
          <w:kern w:val="0"/>
          <w:sz w:val="32"/>
          <w:szCs w:val="32"/>
          <w:lang w:val="en-US" w:eastAsia="zh-CN"/>
        </w:rPr>
        <w:t>七</w:t>
      </w:r>
      <w:r>
        <w:rPr>
          <w:rFonts w:hint="eastAsia" w:ascii="楷体" w:hAnsi="仿宋" w:eastAsia="黑体" w:cs="仿宋"/>
          <w:kern w:val="0"/>
          <w:sz w:val="32"/>
          <w:szCs w:val="32"/>
        </w:rPr>
        <w:t>条</w:t>
      </w:r>
      <w:r>
        <w:rPr>
          <w:rFonts w:hint="eastAsia" w:ascii="楷体" w:hAnsi="仿宋" w:eastAsia="黑体" w:cs="仿宋"/>
          <w:sz w:val="32"/>
          <w:szCs w:val="32"/>
        </w:rPr>
        <w:t xml:space="preserve"> </w:t>
      </w:r>
      <w:r>
        <w:rPr>
          <w:rFonts w:ascii="仿宋" w:hAnsi="仿宋" w:eastAsia="仿宋" w:cs="仿宋"/>
          <w:spacing w:val="-9"/>
          <w:sz w:val="32"/>
          <w:szCs w:val="32"/>
        </w:rPr>
        <w:t>自处分</w:t>
      </w:r>
      <w:r>
        <w:rPr>
          <w:rFonts w:hint="eastAsia" w:ascii="仿宋" w:hAnsi="仿宋" w:eastAsia="仿宋" w:cs="仿宋"/>
          <w:spacing w:val="-9"/>
          <w:sz w:val="32"/>
          <w:szCs w:val="32"/>
        </w:rPr>
        <w:t>（</w:t>
      </w:r>
      <w:r>
        <w:rPr>
          <w:rFonts w:ascii="仿宋" w:hAnsi="仿宋" w:eastAsia="仿宋" w:cs="仿宋"/>
          <w:spacing w:val="-9"/>
          <w:sz w:val="32"/>
          <w:szCs w:val="32"/>
        </w:rPr>
        <w:t>处理</w:t>
      </w:r>
      <w:r>
        <w:rPr>
          <w:rFonts w:hint="eastAsia" w:ascii="仿宋" w:hAnsi="仿宋" w:eastAsia="仿宋" w:cs="仿宋"/>
          <w:spacing w:val="-9"/>
          <w:sz w:val="32"/>
          <w:szCs w:val="32"/>
        </w:rPr>
        <w:t>）</w:t>
      </w:r>
      <w:r>
        <w:rPr>
          <w:rFonts w:ascii="仿宋" w:hAnsi="仿宋" w:eastAsia="仿宋" w:cs="仿宋"/>
          <w:spacing w:val="-9"/>
          <w:sz w:val="32"/>
          <w:szCs w:val="32"/>
        </w:rPr>
        <w:t>或者送达之日起，学生在申</w:t>
      </w:r>
      <w:r>
        <w:rPr>
          <w:rFonts w:ascii="仿宋" w:hAnsi="仿宋" w:eastAsia="仿宋" w:cs="仿宋"/>
          <w:sz w:val="32"/>
          <w:szCs w:val="32"/>
        </w:rPr>
        <w:t>诉期内未提出申诉的视为放弃申诉，学校不再受理其提出的申诉。</w:t>
      </w:r>
      <w:r>
        <w:rPr>
          <w:rFonts w:ascii="仿宋" w:hAnsi="仿宋" w:eastAsia="仿宋" w:cs="仿宋"/>
          <w:spacing w:val="-9"/>
          <w:sz w:val="32"/>
          <w:szCs w:val="32"/>
        </w:rPr>
        <w:t>处分</w:t>
      </w:r>
      <w:r>
        <w:rPr>
          <w:rFonts w:hint="eastAsia" w:ascii="仿宋" w:hAnsi="仿宋" w:eastAsia="仿宋" w:cs="仿宋"/>
          <w:spacing w:val="-9"/>
          <w:sz w:val="32"/>
          <w:szCs w:val="32"/>
        </w:rPr>
        <w:t>（</w:t>
      </w:r>
      <w:r>
        <w:rPr>
          <w:rFonts w:ascii="仿宋" w:hAnsi="仿宋" w:eastAsia="仿宋" w:cs="仿宋"/>
          <w:spacing w:val="-9"/>
          <w:sz w:val="32"/>
          <w:szCs w:val="32"/>
        </w:rPr>
        <w:t>处理</w:t>
      </w:r>
      <w:r>
        <w:rPr>
          <w:rFonts w:hint="eastAsia" w:ascii="仿宋" w:hAnsi="仿宋" w:eastAsia="仿宋" w:cs="仿宋"/>
          <w:spacing w:val="-9"/>
          <w:sz w:val="32"/>
          <w:szCs w:val="32"/>
        </w:rPr>
        <w:t>）</w:t>
      </w:r>
      <w:r>
        <w:rPr>
          <w:rFonts w:ascii="仿宋" w:hAnsi="仿宋" w:eastAsia="仿宋" w:cs="仿宋"/>
          <w:sz w:val="32"/>
          <w:szCs w:val="32"/>
        </w:rPr>
        <w:t>未告知学生申诉期限的，申诉期限自学生知道或者应当知道处理或者处分决定之日起计</w:t>
      </w:r>
      <w:bookmarkStart w:id="1" w:name="_GoBack"/>
      <w:bookmarkEnd w:id="1"/>
      <w:r>
        <w:rPr>
          <w:rFonts w:ascii="仿宋" w:hAnsi="仿宋" w:eastAsia="仿宋" w:cs="仿宋"/>
          <w:sz w:val="32"/>
          <w:szCs w:val="32"/>
        </w:rPr>
        <w:t>算，但最长不得超过 30</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日，逾期不再受理。同一事件的申诉以一次为限。</w:t>
      </w:r>
    </w:p>
    <w:p w14:paraId="0D0C254E">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 w:hAnsi="仿宋" w:eastAsia="仿宋" w:cs="仿宋"/>
          <w:sz w:val="32"/>
          <w:szCs w:val="32"/>
        </w:rPr>
      </w:pPr>
      <w:r>
        <w:rPr>
          <w:rFonts w:hint="eastAsia" w:ascii="楷体" w:hAnsi="仿宋" w:eastAsia="黑体" w:cs="仿宋"/>
          <w:sz w:val="32"/>
          <w:szCs w:val="32"/>
        </w:rPr>
        <w:t>第</w:t>
      </w:r>
      <w:r>
        <w:rPr>
          <w:rFonts w:hint="eastAsia" w:ascii="楷体" w:hAnsi="仿宋" w:eastAsia="黑体" w:cs="仿宋"/>
          <w:sz w:val="32"/>
          <w:szCs w:val="32"/>
          <w:lang w:val="en-US" w:eastAsia="zh-CN"/>
        </w:rPr>
        <w:t>八</w:t>
      </w:r>
      <w:r>
        <w:rPr>
          <w:rFonts w:hint="eastAsia" w:ascii="楷体" w:hAnsi="仿宋" w:eastAsia="黑体" w:cs="仿宋"/>
          <w:sz w:val="32"/>
          <w:szCs w:val="32"/>
        </w:rPr>
        <w:t xml:space="preserve">条 </w:t>
      </w:r>
      <w:r>
        <w:rPr>
          <w:rFonts w:ascii="仿宋" w:hAnsi="仿宋" w:eastAsia="仿宋" w:cs="仿宋"/>
          <w:sz w:val="32"/>
          <w:szCs w:val="32"/>
        </w:rPr>
        <w:t>多数</w:t>
      </w:r>
      <w:r>
        <w:rPr>
          <w:rFonts w:hint="eastAsia" w:ascii="仿宋" w:hAnsi="仿宋" w:eastAsia="仿宋" w:cs="仿宋"/>
          <w:sz w:val="32"/>
          <w:szCs w:val="32"/>
        </w:rPr>
        <w:t>学生</w:t>
      </w:r>
      <w:r>
        <w:rPr>
          <w:rFonts w:ascii="仿宋" w:hAnsi="仿宋" w:eastAsia="仿宋" w:cs="仿宋"/>
          <w:sz w:val="32"/>
          <w:szCs w:val="32"/>
        </w:rPr>
        <w:t>因同一事由共同申诉时，应选出三人以下（含三人）的代表人，并附委托书进行申诉。</w:t>
      </w:r>
    </w:p>
    <w:p w14:paraId="3DA7DA64">
      <w:pPr>
        <w:keepNext w:val="0"/>
        <w:keepLines w:val="0"/>
        <w:pageBreakBefore w:val="0"/>
        <w:widowControl w:val="0"/>
        <w:tabs>
          <w:tab w:val="left" w:pos="2223"/>
        </w:tabs>
        <w:kinsoku/>
        <w:wordWrap/>
        <w:overflowPunct/>
        <w:topLinePunct w:val="0"/>
        <w:autoSpaceDE w:val="0"/>
        <w:autoSpaceDN w:val="0"/>
        <w:bidi w:val="0"/>
        <w:adjustRightInd/>
        <w:snapToGrid/>
        <w:spacing w:line="580" w:lineRule="exact"/>
        <w:ind w:firstLine="752" w:firstLineChars="200"/>
        <w:textAlignment w:val="auto"/>
        <w:rPr>
          <w:rFonts w:ascii="仿宋" w:hAnsi="仿宋" w:eastAsia="仿宋" w:cs="仿宋"/>
          <w:sz w:val="32"/>
          <w:szCs w:val="32"/>
        </w:rPr>
      </w:pPr>
      <w:r>
        <w:rPr>
          <w:rFonts w:hint="eastAsia" w:ascii="楷体" w:hAnsi="仿宋" w:eastAsia="黑体" w:cs="仿宋"/>
          <w:spacing w:val="28"/>
          <w:sz w:val="32"/>
          <w:szCs w:val="32"/>
        </w:rPr>
        <w:t>第</w:t>
      </w:r>
      <w:r>
        <w:rPr>
          <w:rFonts w:hint="eastAsia" w:ascii="楷体" w:hAnsi="仿宋" w:eastAsia="黑体" w:cs="仿宋"/>
          <w:spacing w:val="28"/>
          <w:sz w:val="32"/>
          <w:szCs w:val="32"/>
          <w:lang w:val="en-US" w:eastAsia="zh-CN"/>
        </w:rPr>
        <w:t>九</w:t>
      </w:r>
      <w:r>
        <w:rPr>
          <w:rFonts w:hint="eastAsia" w:ascii="楷体" w:hAnsi="仿宋" w:eastAsia="黑体" w:cs="仿宋"/>
          <w:spacing w:val="28"/>
          <w:sz w:val="32"/>
          <w:szCs w:val="32"/>
        </w:rPr>
        <w:t xml:space="preserve">条 </w:t>
      </w:r>
      <w:r>
        <w:rPr>
          <w:rFonts w:ascii="仿宋" w:hAnsi="仿宋" w:eastAsia="仿宋" w:cs="仿宋"/>
          <w:sz w:val="32"/>
          <w:szCs w:val="32"/>
        </w:rPr>
        <w:t>学生提出申诉时，应向</w:t>
      </w:r>
      <w:r>
        <w:rPr>
          <w:rFonts w:hint="eastAsia" w:ascii="仿宋" w:hAnsi="仿宋" w:eastAsia="仿宋" w:cs="仿宋"/>
          <w:sz w:val="32"/>
          <w:szCs w:val="32"/>
        </w:rPr>
        <w:t>学校学生申诉处理委员会办公室书面或线上</w:t>
      </w:r>
      <w:r>
        <w:rPr>
          <w:rFonts w:ascii="仿宋" w:hAnsi="仿宋" w:eastAsia="仿宋" w:cs="仿宋"/>
          <w:sz w:val="32"/>
          <w:szCs w:val="32"/>
        </w:rPr>
        <w:t>递交申诉申请</w:t>
      </w:r>
      <w:r>
        <w:rPr>
          <w:rFonts w:ascii="仿宋" w:hAnsi="仿宋" w:eastAsia="仿宋" w:cs="仿宋"/>
          <w:spacing w:val="-8"/>
          <w:sz w:val="32"/>
          <w:szCs w:val="32"/>
        </w:rPr>
        <w:t>书</w:t>
      </w:r>
      <w:r>
        <w:rPr>
          <w:rFonts w:hint="eastAsia" w:ascii="仿宋" w:hAnsi="仿宋" w:eastAsia="仿宋" w:cs="仿宋"/>
          <w:spacing w:val="-8"/>
          <w:sz w:val="32"/>
          <w:szCs w:val="32"/>
        </w:rPr>
        <w:t>。</w:t>
      </w:r>
      <w:r>
        <w:rPr>
          <w:rFonts w:hint="eastAsia" w:ascii="仿宋" w:hAnsi="仿宋" w:eastAsia="仿宋" w:cs="仿宋"/>
          <w:sz w:val="32"/>
          <w:szCs w:val="32"/>
        </w:rPr>
        <w:t>学校</w:t>
      </w:r>
      <w:r>
        <w:rPr>
          <w:rFonts w:ascii="仿宋" w:hAnsi="仿宋" w:eastAsia="仿宋" w:cs="仿宋"/>
          <w:sz w:val="32"/>
          <w:szCs w:val="32"/>
        </w:rPr>
        <w:t>学生申诉处理委员会</w:t>
      </w:r>
      <w:r>
        <w:rPr>
          <w:rFonts w:hint="eastAsia" w:ascii="仿宋" w:hAnsi="仿宋" w:eastAsia="仿宋" w:cs="仿宋"/>
          <w:sz w:val="32"/>
          <w:szCs w:val="32"/>
        </w:rPr>
        <w:t>应开通线上申</w:t>
      </w:r>
      <w:r>
        <w:rPr>
          <w:rFonts w:hint="eastAsia" w:ascii="仿宋" w:hAnsi="仿宋" w:eastAsia="仿宋" w:cs="仿宋"/>
          <w:sz w:val="32"/>
          <w:szCs w:val="32"/>
          <w:lang w:val="en-US" w:eastAsia="zh-CN"/>
        </w:rPr>
        <w:t>诉</w:t>
      </w:r>
      <w:r>
        <w:rPr>
          <w:rFonts w:hint="eastAsia" w:ascii="仿宋" w:hAnsi="仿宋" w:eastAsia="仿宋" w:cs="仿宋"/>
          <w:sz w:val="32"/>
          <w:szCs w:val="32"/>
        </w:rPr>
        <w:t>渠道，制定</w:t>
      </w:r>
      <w:r>
        <w:rPr>
          <w:rFonts w:hint="eastAsia" w:ascii="仿宋" w:hAnsi="仿宋" w:eastAsia="仿宋" w:cs="仿宋"/>
          <w:spacing w:val="-8"/>
          <w:sz w:val="32"/>
          <w:szCs w:val="32"/>
        </w:rPr>
        <w:t>申</w:t>
      </w:r>
      <w:r>
        <w:rPr>
          <w:rFonts w:ascii="仿宋" w:hAnsi="仿宋" w:eastAsia="仿宋" w:cs="仿宋"/>
          <w:spacing w:val="-6"/>
          <w:sz w:val="32"/>
          <w:szCs w:val="32"/>
        </w:rPr>
        <w:t>诉申请书</w:t>
      </w:r>
      <w:r>
        <w:rPr>
          <w:rFonts w:hint="eastAsia" w:ascii="仿宋" w:hAnsi="仿宋" w:eastAsia="仿宋" w:cs="仿宋"/>
          <w:spacing w:val="-6"/>
          <w:sz w:val="32"/>
          <w:szCs w:val="32"/>
        </w:rPr>
        <w:t>统一模板，明确</w:t>
      </w:r>
      <w:r>
        <w:rPr>
          <w:rFonts w:hint="eastAsia" w:ascii="仿宋" w:hAnsi="仿宋" w:eastAsia="仿宋" w:cs="仿宋"/>
          <w:spacing w:val="-8"/>
          <w:sz w:val="32"/>
          <w:szCs w:val="32"/>
        </w:rPr>
        <w:t>申</w:t>
      </w:r>
      <w:r>
        <w:rPr>
          <w:rFonts w:ascii="仿宋" w:hAnsi="仿宋" w:eastAsia="仿宋" w:cs="仿宋"/>
          <w:spacing w:val="-6"/>
          <w:sz w:val="32"/>
          <w:szCs w:val="32"/>
        </w:rPr>
        <w:t>诉申请书</w:t>
      </w:r>
      <w:r>
        <w:rPr>
          <w:rFonts w:hint="eastAsia" w:ascii="仿宋" w:hAnsi="仿宋" w:eastAsia="仿宋" w:cs="仿宋"/>
          <w:spacing w:val="-6"/>
          <w:sz w:val="32"/>
          <w:szCs w:val="32"/>
        </w:rPr>
        <w:t>应包含的主要</w:t>
      </w:r>
      <w:r>
        <w:rPr>
          <w:rFonts w:ascii="仿宋" w:hAnsi="仿宋" w:eastAsia="仿宋" w:cs="仿宋"/>
          <w:spacing w:val="-6"/>
          <w:sz w:val="32"/>
          <w:szCs w:val="32"/>
        </w:rPr>
        <w:t>内容</w:t>
      </w:r>
      <w:r>
        <w:rPr>
          <w:rFonts w:hint="eastAsia" w:ascii="仿宋" w:hAnsi="仿宋" w:eastAsia="仿宋" w:cs="仿宋"/>
          <w:spacing w:val="-6"/>
          <w:sz w:val="32"/>
          <w:szCs w:val="32"/>
        </w:rPr>
        <w:t>和</w:t>
      </w:r>
      <w:r>
        <w:rPr>
          <w:rFonts w:hint="eastAsia" w:ascii="仿宋" w:hAnsi="仿宋" w:eastAsia="仿宋" w:cs="仿宋"/>
          <w:spacing w:val="-8"/>
          <w:sz w:val="32"/>
          <w:szCs w:val="32"/>
        </w:rPr>
        <w:t>申</w:t>
      </w:r>
      <w:r>
        <w:rPr>
          <w:rFonts w:ascii="仿宋" w:hAnsi="仿宋" w:eastAsia="仿宋" w:cs="仿宋"/>
          <w:spacing w:val="-6"/>
          <w:sz w:val="32"/>
          <w:szCs w:val="32"/>
        </w:rPr>
        <w:t>诉</w:t>
      </w:r>
      <w:r>
        <w:rPr>
          <w:rFonts w:hint="eastAsia" w:ascii="仿宋" w:hAnsi="仿宋" w:eastAsia="仿宋" w:cs="仿宋"/>
          <w:spacing w:val="-6"/>
          <w:sz w:val="32"/>
          <w:szCs w:val="32"/>
        </w:rPr>
        <w:t>流程，并在学校官网予以公布。</w:t>
      </w:r>
    </w:p>
    <w:p w14:paraId="544D465C">
      <w:pPr>
        <w:keepNext w:val="0"/>
        <w:keepLines w:val="0"/>
        <w:pageBreakBefore w:val="0"/>
        <w:widowControl w:val="0"/>
        <w:tabs>
          <w:tab w:val="left" w:pos="2223"/>
        </w:tabs>
        <w:kinsoku/>
        <w:wordWrap/>
        <w:overflowPunct/>
        <w:topLinePunct w:val="0"/>
        <w:autoSpaceDE w:val="0"/>
        <w:autoSpaceDN w:val="0"/>
        <w:bidi w:val="0"/>
        <w:adjustRightInd/>
        <w:snapToGrid/>
        <w:spacing w:line="580" w:lineRule="exact"/>
        <w:ind w:firstLine="640" w:firstLineChars="200"/>
        <w:textAlignment w:val="auto"/>
        <w:rPr>
          <w:rFonts w:ascii="仿宋" w:hAnsi="仿宋" w:eastAsia="仿宋" w:cs="仿宋"/>
          <w:kern w:val="0"/>
          <w:sz w:val="32"/>
          <w:szCs w:val="32"/>
        </w:rPr>
      </w:pPr>
      <w:r>
        <w:rPr>
          <w:rFonts w:hint="eastAsia" w:ascii="楷体" w:hAnsi="仿宋" w:eastAsia="黑体" w:cs="仿宋"/>
          <w:kern w:val="0"/>
          <w:sz w:val="32"/>
          <w:szCs w:val="32"/>
        </w:rPr>
        <w:t xml:space="preserve">第十条 </w:t>
      </w:r>
      <w:r>
        <w:rPr>
          <w:rFonts w:hint="eastAsia" w:ascii="仿宋" w:hAnsi="仿宋" w:eastAsia="仿宋" w:cs="仿宋"/>
          <w:kern w:val="0"/>
          <w:sz w:val="32"/>
          <w:szCs w:val="32"/>
        </w:rPr>
        <w:t>申诉学生在申诉申请书中认为学校处分</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处理</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决定存在以下问题之一的，学校学生申诉处理委员会应当受理申诉学生申诉：</w:t>
      </w:r>
    </w:p>
    <w:p w14:paraId="33912771">
      <w:pPr>
        <w:keepNext w:val="0"/>
        <w:keepLines w:val="0"/>
        <w:pageBreakBefore w:val="0"/>
        <w:widowControl w:val="0"/>
        <w:kinsoku/>
        <w:wordWrap/>
        <w:overflowPunct/>
        <w:topLinePunct w:val="0"/>
        <w:autoSpaceDE w:val="0"/>
        <w:autoSpaceDN w:val="0"/>
        <w:bidi w:val="0"/>
        <w:adjustRightInd/>
        <w:snapToGrid/>
        <w:spacing w:line="580" w:lineRule="exact"/>
        <w:ind w:firstLine="624" w:firstLineChars="200"/>
        <w:textAlignment w:val="auto"/>
        <w:rPr>
          <w:rFonts w:ascii="仿宋" w:hAnsi="仿宋" w:eastAsia="仿宋" w:cs="仿宋"/>
          <w:sz w:val="32"/>
          <w:szCs w:val="32"/>
        </w:rPr>
      </w:pPr>
      <w:r>
        <w:rPr>
          <w:rFonts w:hint="eastAsia" w:ascii="楷体" w:hAnsi="楷体" w:eastAsia="楷体" w:cs="楷体"/>
          <w:spacing w:val="-4"/>
          <w:kern w:val="0"/>
          <w:sz w:val="32"/>
          <w:szCs w:val="32"/>
          <w:lang w:val="en-US" w:eastAsia="zh-CN" w:bidi="ar-SA"/>
        </w:rPr>
        <w:t>（一）</w:t>
      </w:r>
      <w:r>
        <w:rPr>
          <w:rFonts w:ascii="仿宋" w:hAnsi="仿宋" w:eastAsia="仿宋" w:cs="仿宋"/>
          <w:sz w:val="32"/>
          <w:szCs w:val="32"/>
        </w:rPr>
        <w:t>原</w:t>
      </w:r>
      <w:r>
        <w:rPr>
          <w:rFonts w:hint="eastAsia" w:ascii="仿宋" w:hAnsi="仿宋" w:eastAsia="仿宋" w:cs="仿宋"/>
          <w:sz w:val="32"/>
          <w:szCs w:val="32"/>
        </w:rPr>
        <w:t>处分（处理）</w:t>
      </w:r>
      <w:r>
        <w:rPr>
          <w:rFonts w:ascii="仿宋" w:hAnsi="仿宋" w:eastAsia="仿宋" w:cs="仿宋"/>
          <w:sz w:val="32"/>
          <w:szCs w:val="32"/>
        </w:rPr>
        <w:t>决定适用</w:t>
      </w:r>
      <w:r>
        <w:rPr>
          <w:rFonts w:hint="eastAsia" w:ascii="仿宋" w:hAnsi="仿宋" w:eastAsia="仿宋" w:cs="仿宋"/>
          <w:sz w:val="32"/>
          <w:szCs w:val="32"/>
        </w:rPr>
        <w:t>依据不当</w:t>
      </w:r>
      <w:r>
        <w:rPr>
          <w:rFonts w:ascii="仿宋" w:hAnsi="仿宋" w:eastAsia="仿宋" w:cs="仿宋"/>
          <w:sz w:val="32"/>
          <w:szCs w:val="32"/>
        </w:rPr>
        <w:t>；</w:t>
      </w:r>
    </w:p>
    <w:p w14:paraId="62A2E2BB">
      <w:pPr>
        <w:keepNext w:val="0"/>
        <w:keepLines w:val="0"/>
        <w:pageBreakBefore w:val="0"/>
        <w:widowControl w:val="0"/>
        <w:kinsoku/>
        <w:wordWrap/>
        <w:overflowPunct/>
        <w:topLinePunct w:val="0"/>
        <w:autoSpaceDE w:val="0"/>
        <w:autoSpaceDN w:val="0"/>
        <w:bidi w:val="0"/>
        <w:adjustRightInd/>
        <w:snapToGrid/>
        <w:spacing w:line="580" w:lineRule="exact"/>
        <w:ind w:firstLine="624" w:firstLineChars="200"/>
        <w:textAlignment w:val="auto"/>
        <w:rPr>
          <w:rFonts w:ascii="仿宋" w:hAnsi="仿宋" w:eastAsia="仿宋" w:cs="仿宋"/>
          <w:sz w:val="32"/>
          <w:szCs w:val="32"/>
        </w:rPr>
      </w:pPr>
      <w:r>
        <w:rPr>
          <w:rFonts w:hint="eastAsia" w:ascii="楷体" w:hAnsi="楷体" w:eastAsia="楷体" w:cs="楷体"/>
          <w:spacing w:val="-4"/>
          <w:kern w:val="0"/>
          <w:sz w:val="32"/>
          <w:szCs w:val="32"/>
          <w:lang w:val="en-US" w:eastAsia="zh-CN" w:bidi="ar-SA"/>
        </w:rPr>
        <w:t>（二）</w:t>
      </w:r>
      <w:r>
        <w:rPr>
          <w:rFonts w:ascii="仿宋" w:hAnsi="仿宋" w:eastAsia="仿宋" w:cs="仿宋"/>
          <w:sz w:val="32"/>
          <w:szCs w:val="32"/>
        </w:rPr>
        <w:t>原</w:t>
      </w:r>
      <w:r>
        <w:rPr>
          <w:rFonts w:hint="eastAsia" w:ascii="仿宋" w:hAnsi="仿宋" w:eastAsia="仿宋" w:cs="仿宋"/>
          <w:sz w:val="32"/>
          <w:szCs w:val="32"/>
        </w:rPr>
        <w:t>处分（处理）</w:t>
      </w:r>
      <w:r>
        <w:rPr>
          <w:rFonts w:ascii="仿宋" w:hAnsi="仿宋" w:eastAsia="仿宋" w:cs="仿宋"/>
          <w:sz w:val="32"/>
          <w:szCs w:val="32"/>
        </w:rPr>
        <w:t>决定程序不符规定；</w:t>
      </w:r>
    </w:p>
    <w:p w14:paraId="1DE1011E">
      <w:pPr>
        <w:keepNext w:val="0"/>
        <w:keepLines w:val="0"/>
        <w:pageBreakBefore w:val="0"/>
        <w:widowControl w:val="0"/>
        <w:kinsoku/>
        <w:wordWrap/>
        <w:overflowPunct/>
        <w:topLinePunct w:val="0"/>
        <w:autoSpaceDE w:val="0"/>
        <w:autoSpaceDN w:val="0"/>
        <w:bidi w:val="0"/>
        <w:adjustRightInd/>
        <w:snapToGrid/>
        <w:spacing w:line="580" w:lineRule="exact"/>
        <w:ind w:firstLine="624" w:firstLineChars="200"/>
        <w:textAlignment w:val="auto"/>
        <w:rPr>
          <w:rFonts w:ascii="仿宋" w:hAnsi="仿宋" w:eastAsia="仿宋" w:cs="仿宋"/>
          <w:sz w:val="32"/>
          <w:szCs w:val="32"/>
        </w:rPr>
      </w:pPr>
      <w:r>
        <w:rPr>
          <w:rFonts w:hint="eastAsia" w:ascii="楷体" w:hAnsi="楷体" w:eastAsia="楷体" w:cs="楷体"/>
          <w:spacing w:val="-4"/>
          <w:kern w:val="0"/>
          <w:sz w:val="32"/>
          <w:szCs w:val="32"/>
          <w:lang w:val="en-US" w:eastAsia="zh-CN" w:bidi="ar-SA"/>
        </w:rPr>
        <w:t>（三）</w:t>
      </w:r>
      <w:r>
        <w:rPr>
          <w:rFonts w:ascii="仿宋" w:hAnsi="仿宋" w:eastAsia="仿宋" w:cs="仿宋"/>
          <w:sz w:val="32"/>
          <w:szCs w:val="32"/>
        </w:rPr>
        <w:t>原</w:t>
      </w:r>
      <w:r>
        <w:rPr>
          <w:rFonts w:hint="eastAsia" w:ascii="仿宋" w:hAnsi="仿宋" w:eastAsia="仿宋" w:cs="仿宋"/>
          <w:sz w:val="32"/>
          <w:szCs w:val="32"/>
        </w:rPr>
        <w:t>处分（处理）</w:t>
      </w:r>
      <w:r>
        <w:rPr>
          <w:rFonts w:ascii="仿宋" w:hAnsi="仿宋" w:eastAsia="仿宋" w:cs="仿宋"/>
          <w:sz w:val="32"/>
          <w:szCs w:val="32"/>
        </w:rPr>
        <w:t>决定依据的事实不清或有新的证据证明与原事实不符的；</w:t>
      </w:r>
    </w:p>
    <w:p w14:paraId="5BF4A5ED">
      <w:pPr>
        <w:keepNext w:val="0"/>
        <w:keepLines w:val="0"/>
        <w:pageBreakBefore w:val="0"/>
        <w:widowControl w:val="0"/>
        <w:kinsoku/>
        <w:wordWrap/>
        <w:overflowPunct/>
        <w:topLinePunct w:val="0"/>
        <w:autoSpaceDE w:val="0"/>
        <w:autoSpaceDN w:val="0"/>
        <w:bidi w:val="0"/>
        <w:adjustRightInd/>
        <w:snapToGrid/>
        <w:spacing w:line="580" w:lineRule="exact"/>
        <w:ind w:firstLine="624" w:firstLineChars="200"/>
        <w:textAlignment w:val="auto"/>
        <w:rPr>
          <w:rFonts w:ascii="仿宋" w:hAnsi="仿宋" w:eastAsia="仿宋" w:cs="仿宋"/>
          <w:sz w:val="32"/>
          <w:szCs w:val="32"/>
        </w:rPr>
      </w:pPr>
      <w:r>
        <w:rPr>
          <w:rFonts w:hint="eastAsia" w:ascii="楷体" w:hAnsi="楷体" w:eastAsia="楷体" w:cs="楷体"/>
          <w:spacing w:val="-4"/>
          <w:kern w:val="0"/>
          <w:sz w:val="32"/>
          <w:szCs w:val="32"/>
          <w:lang w:val="en-US" w:eastAsia="zh-CN" w:bidi="ar-SA"/>
        </w:rPr>
        <w:t>（四）</w:t>
      </w:r>
      <w:r>
        <w:rPr>
          <w:rFonts w:ascii="仿宋" w:hAnsi="仿宋" w:eastAsia="仿宋" w:cs="仿宋"/>
          <w:sz w:val="32"/>
          <w:szCs w:val="32"/>
        </w:rPr>
        <w:t>有证据证明有关工作人员有徇私枉法行为的。</w:t>
      </w:r>
    </w:p>
    <w:p w14:paraId="538E609E">
      <w:pPr>
        <w:keepNext w:val="0"/>
        <w:keepLines w:val="0"/>
        <w:pageBreakBefore w:val="0"/>
        <w:widowControl w:val="0"/>
        <w:tabs>
          <w:tab w:val="left" w:pos="2223"/>
        </w:tabs>
        <w:kinsoku/>
        <w:wordWrap/>
        <w:overflowPunct/>
        <w:topLinePunct w:val="0"/>
        <w:autoSpaceDE w:val="0"/>
        <w:autoSpaceDN w:val="0"/>
        <w:bidi w:val="0"/>
        <w:adjustRightInd/>
        <w:snapToGrid/>
        <w:spacing w:line="580" w:lineRule="exact"/>
        <w:ind w:firstLine="640" w:firstLineChars="200"/>
        <w:textAlignment w:val="auto"/>
        <w:rPr>
          <w:rFonts w:ascii="仿宋" w:hAnsi="仿宋" w:eastAsia="仿宋" w:cs="仿宋"/>
          <w:sz w:val="32"/>
          <w:szCs w:val="32"/>
        </w:rPr>
      </w:pPr>
      <w:r>
        <w:rPr>
          <w:rFonts w:hint="eastAsia" w:ascii="楷体" w:hAnsi="仿宋" w:eastAsia="黑体" w:cs="仿宋"/>
          <w:sz w:val="32"/>
          <w:szCs w:val="32"/>
        </w:rPr>
        <w:t>第十</w:t>
      </w:r>
      <w:r>
        <w:rPr>
          <w:rFonts w:hint="eastAsia" w:ascii="楷体" w:hAnsi="仿宋" w:eastAsia="黑体" w:cs="仿宋"/>
          <w:sz w:val="32"/>
          <w:szCs w:val="32"/>
          <w:lang w:val="en-US" w:eastAsia="zh-CN"/>
        </w:rPr>
        <w:t>一</w:t>
      </w:r>
      <w:r>
        <w:rPr>
          <w:rFonts w:hint="eastAsia" w:ascii="楷体" w:hAnsi="仿宋" w:eastAsia="黑体" w:cs="仿宋"/>
          <w:sz w:val="32"/>
          <w:szCs w:val="32"/>
        </w:rPr>
        <w:t xml:space="preserve">条 </w:t>
      </w:r>
      <w:r>
        <w:rPr>
          <w:rFonts w:hint="eastAsia" w:ascii="仿宋" w:hAnsi="仿宋" w:eastAsia="仿宋" w:cs="仿宋"/>
          <w:kern w:val="0"/>
          <w:sz w:val="32"/>
          <w:szCs w:val="32"/>
        </w:rPr>
        <w:t>学校学生</w:t>
      </w:r>
      <w:r>
        <w:rPr>
          <w:rFonts w:hint="eastAsia" w:ascii="仿宋" w:hAnsi="仿宋" w:eastAsia="仿宋" w:cs="仿宋"/>
          <w:sz w:val="32"/>
          <w:szCs w:val="32"/>
        </w:rPr>
        <w:t>申诉处理委员会办公室接到申诉学生申诉申请材料后，代表学校学生申诉处理委员会对申诉学生申诉材料进行初审，并区别不同情况作出下列处理</w:t>
      </w:r>
      <w:r>
        <w:rPr>
          <w:rFonts w:ascii="仿宋" w:hAnsi="仿宋" w:eastAsia="仿宋" w:cs="仿宋"/>
          <w:sz w:val="32"/>
          <w:szCs w:val="32"/>
        </w:rPr>
        <w:t>：</w:t>
      </w:r>
    </w:p>
    <w:p w14:paraId="181D8057">
      <w:pPr>
        <w:keepNext w:val="0"/>
        <w:keepLines w:val="0"/>
        <w:pageBreakBefore w:val="0"/>
        <w:widowControl w:val="0"/>
        <w:kinsoku/>
        <w:wordWrap/>
        <w:overflowPunct/>
        <w:topLinePunct w:val="0"/>
        <w:autoSpaceDE w:val="0"/>
        <w:autoSpaceDN w:val="0"/>
        <w:bidi w:val="0"/>
        <w:adjustRightInd/>
        <w:snapToGrid/>
        <w:spacing w:line="580" w:lineRule="exact"/>
        <w:ind w:firstLine="624" w:firstLineChars="200"/>
        <w:textAlignment w:val="auto"/>
        <w:rPr>
          <w:rFonts w:ascii="仿宋" w:hAnsi="仿宋" w:eastAsia="仿宋" w:cs="仿宋"/>
          <w:sz w:val="32"/>
          <w:szCs w:val="32"/>
        </w:rPr>
      </w:pPr>
      <w:r>
        <w:rPr>
          <w:rFonts w:hint="eastAsia" w:ascii="楷体" w:hAnsi="楷体" w:eastAsia="楷体" w:cs="楷体"/>
          <w:spacing w:val="-4"/>
          <w:kern w:val="0"/>
          <w:sz w:val="32"/>
          <w:szCs w:val="32"/>
          <w:lang w:val="en-US" w:eastAsia="zh-CN" w:bidi="ar-SA"/>
        </w:rPr>
        <w:t>（一）</w:t>
      </w:r>
      <w:r>
        <w:rPr>
          <w:rFonts w:ascii="仿宋" w:hAnsi="仿宋" w:eastAsia="仿宋" w:cs="仿宋"/>
          <w:sz w:val="32"/>
          <w:szCs w:val="32"/>
        </w:rPr>
        <w:t>予以受理，同时告知</w:t>
      </w:r>
      <w:r>
        <w:rPr>
          <w:rFonts w:hint="eastAsia" w:ascii="仿宋" w:hAnsi="仿宋" w:eastAsia="仿宋" w:cs="仿宋"/>
          <w:sz w:val="32"/>
          <w:szCs w:val="32"/>
        </w:rPr>
        <w:t>申诉学生</w:t>
      </w:r>
      <w:r>
        <w:rPr>
          <w:rFonts w:ascii="仿宋" w:hAnsi="仿宋" w:eastAsia="仿宋" w:cs="仿宋"/>
          <w:sz w:val="32"/>
          <w:szCs w:val="32"/>
        </w:rPr>
        <w:t>；</w:t>
      </w:r>
    </w:p>
    <w:p w14:paraId="3ED15582">
      <w:pPr>
        <w:keepNext w:val="0"/>
        <w:keepLines w:val="0"/>
        <w:pageBreakBefore w:val="0"/>
        <w:widowControl w:val="0"/>
        <w:kinsoku/>
        <w:wordWrap/>
        <w:overflowPunct/>
        <w:topLinePunct w:val="0"/>
        <w:autoSpaceDE w:val="0"/>
        <w:autoSpaceDN w:val="0"/>
        <w:bidi w:val="0"/>
        <w:adjustRightInd/>
        <w:snapToGrid/>
        <w:spacing w:line="580" w:lineRule="exact"/>
        <w:ind w:firstLine="624" w:firstLineChars="200"/>
        <w:textAlignment w:val="auto"/>
        <w:rPr>
          <w:rFonts w:ascii="仿宋" w:hAnsi="仿宋" w:eastAsia="仿宋" w:cs="仿宋"/>
          <w:sz w:val="32"/>
          <w:szCs w:val="32"/>
        </w:rPr>
      </w:pPr>
      <w:r>
        <w:rPr>
          <w:rFonts w:hint="eastAsia" w:ascii="楷体" w:hAnsi="楷体" w:eastAsia="楷体" w:cs="楷体"/>
          <w:spacing w:val="-4"/>
          <w:kern w:val="0"/>
          <w:sz w:val="32"/>
          <w:szCs w:val="32"/>
          <w:lang w:val="en-US" w:eastAsia="zh-CN" w:bidi="ar-SA"/>
        </w:rPr>
        <w:t>（二）</w:t>
      </w:r>
      <w:r>
        <w:rPr>
          <w:rFonts w:ascii="仿宋" w:hAnsi="仿宋" w:eastAsia="仿宋" w:cs="仿宋"/>
          <w:sz w:val="32"/>
          <w:szCs w:val="32"/>
        </w:rPr>
        <w:t>申诉材料不齐备，限</w:t>
      </w:r>
      <w:r>
        <w:rPr>
          <w:rFonts w:hint="eastAsia" w:ascii="仿宋" w:hAnsi="仿宋" w:eastAsia="仿宋" w:cs="仿宋"/>
          <w:sz w:val="32"/>
          <w:szCs w:val="32"/>
        </w:rPr>
        <w:t xml:space="preserve"> </w:t>
      </w:r>
      <w:r>
        <w:rPr>
          <w:rFonts w:ascii="仿宋" w:hAnsi="仿宋" w:eastAsia="仿宋" w:cs="仿宋"/>
          <w:sz w:val="32"/>
          <w:szCs w:val="32"/>
        </w:rPr>
        <w:t>10</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日内</w:t>
      </w:r>
      <w:r>
        <w:rPr>
          <w:rFonts w:ascii="仿宋" w:hAnsi="仿宋" w:eastAsia="仿宋" w:cs="仿宋"/>
          <w:sz w:val="32"/>
          <w:szCs w:val="32"/>
        </w:rPr>
        <w:t>补齐。过期不补齐的视作放弃申诉；</w:t>
      </w:r>
    </w:p>
    <w:p w14:paraId="7FCA3623">
      <w:pPr>
        <w:keepNext w:val="0"/>
        <w:keepLines w:val="0"/>
        <w:pageBreakBefore w:val="0"/>
        <w:widowControl w:val="0"/>
        <w:kinsoku/>
        <w:wordWrap/>
        <w:overflowPunct/>
        <w:topLinePunct w:val="0"/>
        <w:autoSpaceDE w:val="0"/>
        <w:autoSpaceDN w:val="0"/>
        <w:bidi w:val="0"/>
        <w:adjustRightInd/>
        <w:snapToGrid/>
        <w:spacing w:line="580" w:lineRule="exact"/>
        <w:ind w:firstLine="624" w:firstLineChars="200"/>
        <w:textAlignment w:val="auto"/>
        <w:rPr>
          <w:rFonts w:ascii="仿宋" w:hAnsi="仿宋" w:eastAsia="仿宋" w:cs="仿宋"/>
          <w:sz w:val="32"/>
          <w:szCs w:val="32"/>
        </w:rPr>
      </w:pPr>
      <w:r>
        <w:rPr>
          <w:rFonts w:hint="eastAsia" w:ascii="楷体" w:hAnsi="楷体" w:eastAsia="楷体" w:cs="楷体"/>
          <w:spacing w:val="-4"/>
          <w:kern w:val="0"/>
          <w:sz w:val="32"/>
          <w:szCs w:val="32"/>
          <w:lang w:val="en-US" w:eastAsia="zh-CN" w:bidi="ar-SA"/>
        </w:rPr>
        <w:t>（三）</w:t>
      </w:r>
      <w:r>
        <w:rPr>
          <w:rFonts w:hint="eastAsia" w:ascii="仿宋" w:hAnsi="仿宋" w:eastAsia="仿宋" w:cs="仿宋"/>
          <w:sz w:val="32"/>
          <w:szCs w:val="32"/>
        </w:rPr>
        <w:t>申诉学生申诉事项不属于本办法第十条所规定申诉适用条件的，或超过本办法第</w:t>
      </w:r>
      <w:r>
        <w:rPr>
          <w:rFonts w:hint="eastAsia" w:ascii="仿宋" w:hAnsi="仿宋" w:eastAsia="仿宋" w:cs="仿宋"/>
          <w:sz w:val="32"/>
          <w:szCs w:val="32"/>
          <w:lang w:val="en-US" w:eastAsia="zh-CN"/>
        </w:rPr>
        <w:t>七</w:t>
      </w:r>
      <w:r>
        <w:rPr>
          <w:rFonts w:hint="eastAsia" w:ascii="仿宋" w:hAnsi="仿宋" w:eastAsia="仿宋" w:cs="仿宋"/>
          <w:sz w:val="32"/>
          <w:szCs w:val="32"/>
        </w:rPr>
        <w:t>条规定申诉时效的，或申诉材料不齐备又未在</w:t>
      </w:r>
      <w:r>
        <w:rPr>
          <w:rFonts w:hint="eastAsia" w:ascii="仿宋" w:hAnsi="仿宋" w:eastAsia="仿宋" w:cs="仿宋"/>
          <w:sz w:val="32"/>
          <w:szCs w:val="32"/>
          <w:lang w:val="en-US" w:eastAsia="zh-CN"/>
        </w:rPr>
        <w:t xml:space="preserve"> </w:t>
      </w:r>
      <w:r>
        <w:rPr>
          <w:rFonts w:ascii="仿宋" w:hAnsi="仿宋" w:eastAsia="仿宋" w:cs="仿宋"/>
          <w:sz w:val="32"/>
          <w:szCs w:val="32"/>
        </w:rPr>
        <w:t>10</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日内补齐的，不予受理，并告知申诉人。</w:t>
      </w:r>
    </w:p>
    <w:p w14:paraId="45FF257C">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楷体" w:hAnsi="仿宋" w:eastAsia="黑体" w:cs="仿宋"/>
          <w:sz w:val="32"/>
          <w:szCs w:val="32"/>
        </w:rPr>
        <w:t>第十</w:t>
      </w:r>
      <w:r>
        <w:rPr>
          <w:rFonts w:hint="eastAsia" w:ascii="楷体" w:hAnsi="仿宋" w:eastAsia="黑体" w:cs="仿宋"/>
          <w:sz w:val="32"/>
          <w:szCs w:val="32"/>
          <w:lang w:val="en-US" w:eastAsia="zh-CN"/>
        </w:rPr>
        <w:t>二</w:t>
      </w:r>
      <w:r>
        <w:rPr>
          <w:rFonts w:hint="eastAsia" w:ascii="楷体" w:hAnsi="仿宋" w:eastAsia="黑体" w:cs="仿宋"/>
          <w:sz w:val="32"/>
          <w:szCs w:val="32"/>
        </w:rPr>
        <w:t xml:space="preserve">条 </w:t>
      </w:r>
      <w:r>
        <w:rPr>
          <w:rFonts w:hint="eastAsia" w:ascii="仿宋" w:hAnsi="仿宋" w:eastAsia="仿宋" w:cs="仿宋"/>
          <w:sz w:val="32"/>
          <w:szCs w:val="32"/>
        </w:rPr>
        <w:t>学校学生申诉处理委员会应当在决定受理申诉后的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30</w:t>
      </w:r>
      <w:r>
        <w:rPr>
          <w:rFonts w:hint="eastAsia" w:ascii="仿宋" w:hAnsi="仿宋" w:eastAsia="仿宋" w:cs="仿宋"/>
          <w:sz w:val="32"/>
          <w:szCs w:val="32"/>
          <w:lang w:val="en-US" w:eastAsia="zh-CN"/>
        </w:rPr>
        <w:t xml:space="preserve"> 日</w:t>
      </w:r>
      <w:r>
        <w:rPr>
          <w:rFonts w:hint="eastAsia" w:ascii="仿宋" w:hAnsi="仿宋" w:eastAsia="仿宋" w:cs="仿宋"/>
          <w:sz w:val="32"/>
          <w:szCs w:val="32"/>
        </w:rPr>
        <w:t>内，按照下列规定作出申诉处理决定：</w:t>
      </w:r>
    </w:p>
    <w:p w14:paraId="684DDCF6">
      <w:pPr>
        <w:keepNext w:val="0"/>
        <w:keepLines w:val="0"/>
        <w:pageBreakBefore w:val="0"/>
        <w:widowControl w:val="0"/>
        <w:kinsoku/>
        <w:wordWrap/>
        <w:overflowPunct/>
        <w:topLinePunct w:val="0"/>
        <w:autoSpaceDE w:val="0"/>
        <w:autoSpaceDN w:val="0"/>
        <w:bidi w:val="0"/>
        <w:adjustRightInd/>
        <w:snapToGrid/>
        <w:spacing w:line="580" w:lineRule="exact"/>
        <w:ind w:firstLine="624" w:firstLineChars="200"/>
        <w:textAlignment w:val="auto"/>
        <w:rPr>
          <w:rFonts w:hint="eastAsia" w:ascii="仿宋" w:hAnsi="仿宋" w:eastAsia="仿宋" w:cs="仿宋"/>
          <w:sz w:val="32"/>
          <w:szCs w:val="32"/>
        </w:rPr>
      </w:pPr>
      <w:r>
        <w:rPr>
          <w:rFonts w:hint="eastAsia" w:ascii="楷体" w:hAnsi="楷体" w:eastAsia="楷体" w:cs="楷体"/>
          <w:spacing w:val="-4"/>
          <w:kern w:val="0"/>
          <w:sz w:val="32"/>
          <w:szCs w:val="32"/>
          <w:lang w:val="en-US" w:eastAsia="zh-CN" w:bidi="ar-SA"/>
        </w:rPr>
        <w:t>（一）</w:t>
      </w:r>
      <w:r>
        <w:rPr>
          <w:rFonts w:hint="eastAsia" w:ascii="仿宋" w:hAnsi="仿宋" w:eastAsia="仿宋" w:cs="仿宋"/>
          <w:sz w:val="32"/>
          <w:szCs w:val="32"/>
        </w:rPr>
        <w:t>原处分（处理）决定认定事实清楚，适用依据正确，程序合法，处理适当，维持原处分（处理）决定；</w:t>
      </w:r>
    </w:p>
    <w:p w14:paraId="0E22BE2F">
      <w:pPr>
        <w:keepNext w:val="0"/>
        <w:keepLines w:val="0"/>
        <w:pageBreakBefore w:val="0"/>
        <w:widowControl w:val="0"/>
        <w:kinsoku/>
        <w:wordWrap/>
        <w:overflowPunct/>
        <w:topLinePunct w:val="0"/>
        <w:autoSpaceDE w:val="0"/>
        <w:autoSpaceDN w:val="0"/>
        <w:bidi w:val="0"/>
        <w:adjustRightInd/>
        <w:snapToGrid/>
        <w:spacing w:line="580" w:lineRule="exact"/>
        <w:ind w:firstLine="624" w:firstLineChars="200"/>
        <w:textAlignment w:val="auto"/>
        <w:rPr>
          <w:rFonts w:hint="eastAsia" w:ascii="仿宋" w:hAnsi="仿宋" w:eastAsia="仿宋" w:cs="仿宋"/>
          <w:sz w:val="32"/>
          <w:szCs w:val="32"/>
        </w:rPr>
      </w:pPr>
      <w:r>
        <w:rPr>
          <w:rFonts w:hint="eastAsia" w:ascii="楷体" w:hAnsi="楷体" w:eastAsia="楷体" w:cs="楷体"/>
          <w:spacing w:val="-4"/>
          <w:kern w:val="0"/>
          <w:sz w:val="32"/>
          <w:szCs w:val="32"/>
          <w:lang w:val="en-US" w:eastAsia="zh-CN" w:bidi="ar-SA"/>
        </w:rPr>
        <w:t>（二）</w:t>
      </w:r>
      <w:r>
        <w:rPr>
          <w:rFonts w:hint="eastAsia" w:ascii="仿宋" w:hAnsi="仿宋" w:eastAsia="仿宋" w:cs="仿宋"/>
          <w:sz w:val="32"/>
          <w:szCs w:val="32"/>
        </w:rPr>
        <w:t>申诉理由充分，事实清楚，申诉学生的合法权益确实受到侵犯或者未得到充分保障，学校学生申诉处理委员会裁定原处分（处理）决定程序不当，退回被申诉人重新作出处分（处理）决定或对有关事宜进行裁定（或提出建议）；</w:t>
      </w:r>
    </w:p>
    <w:p w14:paraId="65E6CB5E">
      <w:pPr>
        <w:keepNext w:val="0"/>
        <w:keepLines w:val="0"/>
        <w:pageBreakBefore w:val="0"/>
        <w:widowControl w:val="0"/>
        <w:kinsoku/>
        <w:wordWrap/>
        <w:overflowPunct/>
        <w:topLinePunct w:val="0"/>
        <w:autoSpaceDE w:val="0"/>
        <w:autoSpaceDN w:val="0"/>
        <w:bidi w:val="0"/>
        <w:adjustRightInd/>
        <w:snapToGrid/>
        <w:spacing w:line="580" w:lineRule="exact"/>
        <w:ind w:firstLine="624" w:firstLineChars="200"/>
        <w:textAlignment w:val="auto"/>
        <w:rPr>
          <w:rFonts w:hint="eastAsia" w:ascii="仿宋" w:hAnsi="仿宋" w:eastAsia="仿宋" w:cs="仿宋"/>
          <w:sz w:val="32"/>
          <w:szCs w:val="32"/>
        </w:rPr>
      </w:pPr>
      <w:r>
        <w:rPr>
          <w:rFonts w:hint="eastAsia" w:ascii="楷体" w:hAnsi="楷体" w:eastAsia="楷体" w:cs="楷体"/>
          <w:spacing w:val="-4"/>
          <w:kern w:val="0"/>
          <w:sz w:val="32"/>
          <w:szCs w:val="32"/>
          <w:lang w:val="en-US" w:eastAsia="zh-CN" w:bidi="ar-SA"/>
        </w:rPr>
        <w:t>（三）</w:t>
      </w:r>
      <w:r>
        <w:rPr>
          <w:rFonts w:hint="eastAsia" w:ascii="仿宋" w:hAnsi="仿宋" w:eastAsia="仿宋" w:cs="仿宋"/>
          <w:sz w:val="32"/>
          <w:szCs w:val="32"/>
        </w:rPr>
        <w:t>原处分（处理）决定具有下列情形之一的，责成相关部门撤销或更改原处分（处理）决定：</w:t>
      </w:r>
    </w:p>
    <w:p w14:paraId="6214BB20">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1.主要事实不清、证据不足的；</w:t>
      </w:r>
    </w:p>
    <w:p w14:paraId="505B9CA1">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2.处分（处理）程序不符合相关规定的；</w:t>
      </w:r>
    </w:p>
    <w:p w14:paraId="6594BCCE">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3.适用法律、法规和有关规章制度的依据错误的；</w:t>
      </w:r>
    </w:p>
    <w:p w14:paraId="161C0F65">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4.处分（处理）行为（处罚程度）明显不当显失公正的；</w:t>
      </w:r>
    </w:p>
    <w:p w14:paraId="4D874007">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5.被申诉部门超越或者滥用职权的。</w:t>
      </w:r>
    </w:p>
    <w:p w14:paraId="58B01812">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情况复杂的，申诉处理期可以适当延长，但是延长期限最多不超过30日。</w:t>
      </w:r>
    </w:p>
    <w:p w14:paraId="769847F9">
      <w:pPr>
        <w:keepNext w:val="0"/>
        <w:keepLines w:val="0"/>
        <w:pageBreakBefore w:val="0"/>
        <w:widowControl w:val="0"/>
        <w:kinsoku/>
        <w:wordWrap/>
        <w:overflowPunct/>
        <w:topLinePunct w:val="0"/>
        <w:autoSpaceDE w:val="0"/>
        <w:autoSpaceDN w:val="0"/>
        <w:bidi w:val="0"/>
        <w:adjustRightInd/>
        <w:snapToGrid/>
        <w:spacing w:line="580" w:lineRule="exact"/>
        <w:ind w:firstLine="624" w:firstLineChars="200"/>
        <w:textAlignment w:val="auto"/>
        <w:rPr>
          <w:rFonts w:hint="eastAsia" w:ascii="仿宋" w:hAnsi="仿宋" w:eastAsia="仿宋" w:cs="仿宋"/>
          <w:sz w:val="32"/>
          <w:szCs w:val="32"/>
        </w:rPr>
      </w:pPr>
      <w:r>
        <w:rPr>
          <w:rFonts w:hint="eastAsia" w:ascii="楷体" w:hAnsi="楷体" w:eastAsia="楷体" w:cs="楷体"/>
          <w:spacing w:val="-4"/>
          <w:kern w:val="0"/>
          <w:sz w:val="32"/>
          <w:szCs w:val="32"/>
          <w:lang w:val="en-US" w:eastAsia="zh-CN" w:bidi="ar-SA"/>
        </w:rPr>
        <w:t>（四）</w:t>
      </w:r>
      <w:r>
        <w:rPr>
          <w:rFonts w:hint="eastAsia" w:ascii="仿宋" w:hAnsi="仿宋" w:eastAsia="仿宋" w:cs="仿宋"/>
          <w:sz w:val="32"/>
          <w:szCs w:val="32"/>
        </w:rPr>
        <w:t>被申诉部门未执行国家法律法规和学校相关规章制度致使申诉学生合法权益受到侵害的，应中止侵害并妥善处理。涉及申诉学生经济、人身、精神等损失的，在协商调解、双方接受前提下作出经济赔偿、赔礼道歉、恢复名誉、消除影响等处理。</w:t>
      </w:r>
    </w:p>
    <w:p w14:paraId="30C18933">
      <w:pPr>
        <w:keepNext w:val="0"/>
        <w:keepLines w:val="0"/>
        <w:pageBreakBefore w:val="0"/>
        <w:widowControl w:val="0"/>
        <w:tabs>
          <w:tab w:val="left" w:pos="2223"/>
        </w:tabs>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楷体" w:hAnsi="楷体" w:eastAsia="黑体" w:cs="楷体"/>
          <w:sz w:val="32"/>
          <w:szCs w:val="32"/>
        </w:rPr>
        <w:t>第十</w:t>
      </w:r>
      <w:r>
        <w:rPr>
          <w:rFonts w:hint="eastAsia" w:ascii="楷体" w:hAnsi="楷体" w:eastAsia="黑体" w:cs="楷体"/>
          <w:sz w:val="32"/>
          <w:szCs w:val="32"/>
          <w:lang w:val="en-US" w:eastAsia="zh-CN"/>
        </w:rPr>
        <w:t>三</w:t>
      </w:r>
      <w:r>
        <w:rPr>
          <w:rFonts w:hint="eastAsia" w:ascii="楷体" w:hAnsi="楷体" w:eastAsia="黑体" w:cs="楷体"/>
          <w:sz w:val="32"/>
          <w:szCs w:val="32"/>
        </w:rPr>
        <w:t>条</w:t>
      </w:r>
      <w:r>
        <w:rPr>
          <w:rFonts w:hint="eastAsia" w:ascii="楷体" w:hAnsi="仿宋" w:eastAsia="黑体" w:cs="仿宋"/>
          <w:sz w:val="32"/>
          <w:szCs w:val="32"/>
        </w:rPr>
        <w:t xml:space="preserve"> </w:t>
      </w:r>
      <w:r>
        <w:rPr>
          <w:rFonts w:hint="eastAsia" w:ascii="仿宋" w:hAnsi="仿宋" w:eastAsia="仿宋" w:cs="仿宋"/>
          <w:sz w:val="32"/>
          <w:szCs w:val="32"/>
        </w:rPr>
        <w:t>学校学生申诉处理委员会作出申诉处理决定，应</w:t>
      </w:r>
      <w:r>
        <w:rPr>
          <w:rFonts w:hint="eastAsia" w:ascii="仿宋" w:hAnsi="仿宋" w:eastAsia="仿宋" w:cs="仿宋"/>
          <w:sz w:val="32"/>
          <w:szCs w:val="32"/>
          <w:lang w:val="en-US" w:eastAsia="zh-CN"/>
        </w:rPr>
        <w:t>制作</w:t>
      </w:r>
      <w:r>
        <w:rPr>
          <w:rFonts w:hint="eastAsia" w:ascii="仿宋" w:hAnsi="仿宋" w:eastAsia="仿宋" w:cs="仿宋"/>
          <w:sz w:val="32"/>
          <w:szCs w:val="32"/>
        </w:rPr>
        <w:t>申诉处理决定</w:t>
      </w:r>
      <w:r>
        <w:rPr>
          <w:rFonts w:hint="eastAsia" w:ascii="仿宋" w:hAnsi="仿宋" w:eastAsia="仿宋" w:cs="仿宋"/>
          <w:sz w:val="32"/>
          <w:szCs w:val="32"/>
          <w:lang w:val="en-US" w:eastAsia="zh-CN"/>
        </w:rPr>
        <w:t>书</w:t>
      </w:r>
      <w:r>
        <w:rPr>
          <w:rFonts w:hint="eastAsia" w:ascii="仿宋" w:hAnsi="仿宋" w:eastAsia="仿宋" w:cs="仿宋"/>
          <w:sz w:val="32"/>
          <w:szCs w:val="32"/>
        </w:rPr>
        <w:t>。申诉处理决定书包含如下内容：</w:t>
      </w:r>
    </w:p>
    <w:p w14:paraId="16534444">
      <w:pPr>
        <w:keepNext w:val="0"/>
        <w:keepLines w:val="0"/>
        <w:pageBreakBefore w:val="0"/>
        <w:widowControl w:val="0"/>
        <w:tabs>
          <w:tab w:val="left" w:pos="2223"/>
        </w:tabs>
        <w:kinsoku/>
        <w:wordWrap/>
        <w:overflowPunct/>
        <w:topLinePunct w:val="0"/>
        <w:autoSpaceDE w:val="0"/>
        <w:autoSpaceDN w:val="0"/>
        <w:bidi w:val="0"/>
        <w:adjustRightInd/>
        <w:snapToGrid/>
        <w:spacing w:line="580" w:lineRule="exact"/>
        <w:ind w:firstLine="624" w:firstLineChars="200"/>
        <w:textAlignment w:val="auto"/>
        <w:rPr>
          <w:rFonts w:hint="eastAsia" w:ascii="仿宋" w:hAnsi="仿宋" w:eastAsia="仿宋" w:cs="仿宋"/>
          <w:sz w:val="32"/>
          <w:szCs w:val="32"/>
        </w:rPr>
      </w:pPr>
      <w:r>
        <w:rPr>
          <w:rFonts w:hint="eastAsia" w:ascii="楷体" w:hAnsi="楷体" w:eastAsia="楷体" w:cs="楷体"/>
          <w:spacing w:val="-4"/>
          <w:kern w:val="0"/>
          <w:sz w:val="32"/>
          <w:szCs w:val="32"/>
          <w:lang w:val="en-US" w:eastAsia="zh-CN" w:bidi="ar-SA"/>
        </w:rPr>
        <w:t>（一）</w:t>
      </w:r>
      <w:r>
        <w:rPr>
          <w:rFonts w:hint="eastAsia" w:ascii="仿宋" w:hAnsi="仿宋" w:eastAsia="仿宋" w:cs="仿宋"/>
          <w:sz w:val="32"/>
          <w:szCs w:val="32"/>
        </w:rPr>
        <w:t>申诉人的姓名、（原）所在学院（中心）、年级</w:t>
      </w:r>
      <w:r>
        <w:rPr>
          <w:rFonts w:hint="eastAsia" w:ascii="仿宋" w:hAnsi="仿宋" w:eastAsia="仿宋" w:cs="仿宋"/>
          <w:sz w:val="32"/>
          <w:szCs w:val="32"/>
          <w:lang w:eastAsia="zh-CN"/>
        </w:rPr>
        <w:t>、</w:t>
      </w:r>
      <w:r>
        <w:rPr>
          <w:rFonts w:hint="eastAsia" w:ascii="仿宋" w:hAnsi="仿宋" w:eastAsia="仿宋" w:cs="仿宋"/>
          <w:sz w:val="32"/>
          <w:szCs w:val="32"/>
        </w:rPr>
        <w:t>专业、学号等基本信息；</w:t>
      </w:r>
    </w:p>
    <w:p w14:paraId="23A9A509">
      <w:pPr>
        <w:keepNext w:val="0"/>
        <w:keepLines w:val="0"/>
        <w:pageBreakBefore w:val="0"/>
        <w:widowControl w:val="0"/>
        <w:tabs>
          <w:tab w:val="left" w:pos="2223"/>
        </w:tabs>
        <w:kinsoku/>
        <w:wordWrap/>
        <w:overflowPunct/>
        <w:topLinePunct w:val="0"/>
        <w:autoSpaceDE w:val="0"/>
        <w:autoSpaceDN w:val="0"/>
        <w:bidi w:val="0"/>
        <w:adjustRightInd/>
        <w:snapToGrid/>
        <w:spacing w:line="580" w:lineRule="exact"/>
        <w:ind w:firstLine="624" w:firstLineChars="200"/>
        <w:textAlignment w:val="auto"/>
        <w:rPr>
          <w:rFonts w:hint="eastAsia" w:ascii="仿宋" w:hAnsi="仿宋" w:eastAsia="仿宋" w:cs="仿宋"/>
          <w:sz w:val="32"/>
          <w:szCs w:val="32"/>
        </w:rPr>
      </w:pPr>
      <w:r>
        <w:rPr>
          <w:rFonts w:hint="eastAsia" w:ascii="楷体" w:hAnsi="楷体" w:eastAsia="楷体" w:cs="楷体"/>
          <w:spacing w:val="-4"/>
          <w:kern w:val="0"/>
          <w:sz w:val="32"/>
          <w:szCs w:val="32"/>
          <w:lang w:val="en-US" w:eastAsia="zh-CN" w:bidi="ar-SA"/>
        </w:rPr>
        <w:t>（二）</w:t>
      </w:r>
      <w:r>
        <w:rPr>
          <w:rFonts w:hint="eastAsia" w:ascii="仿宋" w:hAnsi="仿宋" w:eastAsia="仿宋" w:cs="仿宋"/>
          <w:sz w:val="32"/>
          <w:szCs w:val="32"/>
        </w:rPr>
        <w:t>被申诉部门的名称、原处分（处理）所认定的事实、理由及适用的法律、法规、规章和有关规定；</w:t>
      </w:r>
    </w:p>
    <w:p w14:paraId="26F1B9F8">
      <w:pPr>
        <w:keepNext w:val="0"/>
        <w:keepLines w:val="0"/>
        <w:pageBreakBefore w:val="0"/>
        <w:widowControl w:val="0"/>
        <w:tabs>
          <w:tab w:val="left" w:pos="2223"/>
        </w:tabs>
        <w:kinsoku/>
        <w:wordWrap/>
        <w:overflowPunct/>
        <w:topLinePunct w:val="0"/>
        <w:autoSpaceDE w:val="0"/>
        <w:autoSpaceDN w:val="0"/>
        <w:bidi w:val="0"/>
        <w:adjustRightInd/>
        <w:snapToGrid/>
        <w:spacing w:line="580" w:lineRule="exact"/>
        <w:ind w:firstLine="624" w:firstLineChars="200"/>
        <w:textAlignment w:val="auto"/>
        <w:rPr>
          <w:rFonts w:hint="eastAsia" w:ascii="仿宋" w:hAnsi="仿宋" w:eastAsia="仿宋" w:cs="仿宋"/>
          <w:sz w:val="32"/>
          <w:szCs w:val="32"/>
        </w:rPr>
      </w:pPr>
      <w:r>
        <w:rPr>
          <w:rFonts w:hint="eastAsia" w:ascii="楷体" w:hAnsi="楷体" w:eastAsia="楷体" w:cs="楷体"/>
          <w:spacing w:val="-4"/>
          <w:kern w:val="0"/>
          <w:sz w:val="32"/>
          <w:szCs w:val="32"/>
          <w:lang w:val="en-US" w:eastAsia="zh-CN" w:bidi="ar-SA"/>
        </w:rPr>
        <w:t>（三）</w:t>
      </w:r>
      <w:r>
        <w:rPr>
          <w:rFonts w:hint="eastAsia" w:ascii="仿宋" w:hAnsi="仿宋" w:eastAsia="仿宋" w:cs="仿宋"/>
          <w:sz w:val="32"/>
          <w:szCs w:val="32"/>
        </w:rPr>
        <w:t>申诉的事项、理由及要求；</w:t>
      </w:r>
    </w:p>
    <w:p w14:paraId="3A5A301E">
      <w:pPr>
        <w:keepNext w:val="0"/>
        <w:keepLines w:val="0"/>
        <w:pageBreakBefore w:val="0"/>
        <w:widowControl w:val="0"/>
        <w:tabs>
          <w:tab w:val="left" w:pos="2223"/>
        </w:tabs>
        <w:kinsoku/>
        <w:wordWrap/>
        <w:overflowPunct/>
        <w:topLinePunct w:val="0"/>
        <w:autoSpaceDE w:val="0"/>
        <w:autoSpaceDN w:val="0"/>
        <w:bidi w:val="0"/>
        <w:adjustRightInd/>
        <w:snapToGrid/>
        <w:spacing w:line="580" w:lineRule="exact"/>
        <w:ind w:firstLine="624" w:firstLineChars="200"/>
        <w:textAlignment w:val="auto"/>
        <w:rPr>
          <w:rFonts w:hint="eastAsia" w:ascii="仿宋" w:hAnsi="仿宋" w:eastAsia="仿宋" w:cs="仿宋"/>
          <w:sz w:val="32"/>
          <w:szCs w:val="32"/>
        </w:rPr>
      </w:pPr>
      <w:r>
        <w:rPr>
          <w:rFonts w:hint="eastAsia" w:ascii="楷体" w:hAnsi="楷体" w:eastAsia="楷体" w:cs="楷体"/>
          <w:spacing w:val="-4"/>
          <w:kern w:val="0"/>
          <w:sz w:val="32"/>
          <w:szCs w:val="32"/>
          <w:lang w:val="en-US" w:eastAsia="zh-CN" w:bidi="ar-SA"/>
        </w:rPr>
        <w:t>（四）</w:t>
      </w:r>
      <w:r>
        <w:rPr>
          <w:rFonts w:hint="eastAsia" w:ascii="仿宋" w:hAnsi="仿宋" w:eastAsia="仿宋" w:cs="仿宋"/>
          <w:sz w:val="32"/>
          <w:szCs w:val="32"/>
        </w:rPr>
        <w:t>学校学生申诉处理委员会认定的事实、理由及适用的法律、法规、规章和有关规定；</w:t>
      </w:r>
    </w:p>
    <w:p w14:paraId="13B7100F">
      <w:pPr>
        <w:keepNext w:val="0"/>
        <w:keepLines w:val="0"/>
        <w:pageBreakBefore w:val="0"/>
        <w:widowControl w:val="0"/>
        <w:tabs>
          <w:tab w:val="left" w:pos="2223"/>
        </w:tabs>
        <w:kinsoku/>
        <w:wordWrap/>
        <w:overflowPunct/>
        <w:topLinePunct w:val="0"/>
        <w:autoSpaceDE w:val="0"/>
        <w:autoSpaceDN w:val="0"/>
        <w:bidi w:val="0"/>
        <w:adjustRightInd/>
        <w:snapToGrid/>
        <w:spacing w:line="580" w:lineRule="exact"/>
        <w:ind w:firstLine="624" w:firstLineChars="200"/>
        <w:textAlignment w:val="auto"/>
        <w:rPr>
          <w:rFonts w:hint="eastAsia" w:ascii="仿宋" w:hAnsi="仿宋" w:eastAsia="仿宋" w:cs="仿宋"/>
          <w:sz w:val="32"/>
          <w:szCs w:val="32"/>
        </w:rPr>
      </w:pPr>
      <w:r>
        <w:rPr>
          <w:rFonts w:hint="eastAsia" w:ascii="楷体" w:hAnsi="楷体" w:eastAsia="楷体" w:cs="楷体"/>
          <w:spacing w:val="-4"/>
          <w:kern w:val="0"/>
          <w:sz w:val="32"/>
          <w:szCs w:val="32"/>
          <w:lang w:val="en-US" w:eastAsia="zh-CN" w:bidi="ar-SA"/>
        </w:rPr>
        <w:t>（五）</w:t>
      </w:r>
      <w:r>
        <w:rPr>
          <w:rFonts w:hint="eastAsia" w:ascii="仿宋" w:hAnsi="仿宋" w:eastAsia="仿宋" w:cs="仿宋"/>
          <w:sz w:val="32"/>
          <w:szCs w:val="32"/>
        </w:rPr>
        <w:t>申诉处理决定；</w:t>
      </w:r>
    </w:p>
    <w:p w14:paraId="0C64FB68">
      <w:pPr>
        <w:keepNext w:val="0"/>
        <w:keepLines w:val="0"/>
        <w:pageBreakBefore w:val="0"/>
        <w:widowControl w:val="0"/>
        <w:tabs>
          <w:tab w:val="left" w:pos="2223"/>
        </w:tabs>
        <w:kinsoku/>
        <w:wordWrap/>
        <w:overflowPunct/>
        <w:topLinePunct w:val="0"/>
        <w:autoSpaceDE w:val="0"/>
        <w:autoSpaceDN w:val="0"/>
        <w:bidi w:val="0"/>
        <w:adjustRightInd/>
        <w:snapToGrid/>
        <w:spacing w:line="580" w:lineRule="exact"/>
        <w:ind w:firstLine="624" w:firstLineChars="200"/>
        <w:textAlignment w:val="auto"/>
        <w:rPr>
          <w:rFonts w:hint="eastAsia" w:ascii="仿宋" w:hAnsi="仿宋" w:eastAsia="仿宋" w:cs="仿宋"/>
          <w:sz w:val="32"/>
          <w:szCs w:val="32"/>
        </w:rPr>
      </w:pPr>
      <w:r>
        <w:rPr>
          <w:rFonts w:hint="eastAsia" w:ascii="楷体" w:hAnsi="楷体" w:eastAsia="楷体" w:cs="楷体"/>
          <w:spacing w:val="-4"/>
          <w:kern w:val="0"/>
          <w:sz w:val="32"/>
          <w:szCs w:val="32"/>
          <w:lang w:val="en-US" w:eastAsia="zh-CN" w:bidi="ar-SA"/>
        </w:rPr>
        <w:t>（六）</w:t>
      </w:r>
      <w:r>
        <w:rPr>
          <w:rFonts w:hint="eastAsia" w:ascii="仿宋" w:hAnsi="仿宋" w:eastAsia="仿宋" w:cs="仿宋"/>
          <w:sz w:val="32"/>
          <w:szCs w:val="32"/>
        </w:rPr>
        <w:t>作出决定的日期；</w:t>
      </w:r>
    </w:p>
    <w:p w14:paraId="4DAA6B2E">
      <w:pPr>
        <w:keepNext w:val="0"/>
        <w:keepLines w:val="0"/>
        <w:pageBreakBefore w:val="0"/>
        <w:widowControl w:val="0"/>
        <w:tabs>
          <w:tab w:val="left" w:pos="2223"/>
        </w:tabs>
        <w:kinsoku/>
        <w:wordWrap/>
        <w:overflowPunct/>
        <w:topLinePunct w:val="0"/>
        <w:autoSpaceDE w:val="0"/>
        <w:autoSpaceDN w:val="0"/>
        <w:bidi w:val="0"/>
        <w:adjustRightInd/>
        <w:snapToGrid/>
        <w:spacing w:line="580" w:lineRule="exact"/>
        <w:ind w:firstLine="624" w:firstLineChars="200"/>
        <w:textAlignment w:val="auto"/>
        <w:rPr>
          <w:rFonts w:hint="eastAsia" w:ascii="仿宋" w:hAnsi="仿宋" w:eastAsia="仿宋" w:cs="仿宋"/>
          <w:sz w:val="32"/>
          <w:szCs w:val="32"/>
        </w:rPr>
      </w:pPr>
      <w:r>
        <w:rPr>
          <w:rFonts w:hint="eastAsia" w:ascii="楷体" w:hAnsi="楷体" w:eastAsia="楷体" w:cs="楷体"/>
          <w:spacing w:val="-4"/>
          <w:kern w:val="0"/>
          <w:sz w:val="32"/>
          <w:szCs w:val="32"/>
          <w:lang w:val="en-US" w:eastAsia="zh-CN" w:bidi="ar-SA"/>
        </w:rPr>
        <w:t>（七）</w:t>
      </w:r>
      <w:r>
        <w:rPr>
          <w:rFonts w:hint="eastAsia" w:ascii="仿宋" w:hAnsi="仿宋" w:eastAsia="仿宋" w:cs="仿宋"/>
          <w:sz w:val="32"/>
          <w:szCs w:val="32"/>
        </w:rPr>
        <w:t>其他需要载明的内容。</w:t>
      </w:r>
    </w:p>
    <w:p w14:paraId="008A8B2B">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 w:hAnsi="仿宋" w:eastAsia="仿宋" w:cs="仿宋"/>
          <w:sz w:val="32"/>
          <w:szCs w:val="32"/>
        </w:rPr>
      </w:pPr>
      <w:r>
        <w:rPr>
          <w:rFonts w:hint="eastAsia" w:ascii="楷体" w:hAnsi="楷体" w:eastAsia="黑体" w:cs="楷体"/>
          <w:sz w:val="32"/>
          <w:szCs w:val="32"/>
        </w:rPr>
        <w:t>第十</w:t>
      </w:r>
      <w:r>
        <w:rPr>
          <w:rFonts w:hint="eastAsia" w:ascii="楷体" w:hAnsi="楷体" w:eastAsia="黑体" w:cs="楷体"/>
          <w:sz w:val="32"/>
          <w:szCs w:val="32"/>
          <w:lang w:val="en-US" w:eastAsia="zh-CN"/>
        </w:rPr>
        <w:t>四</w:t>
      </w:r>
      <w:r>
        <w:rPr>
          <w:rFonts w:hint="eastAsia" w:ascii="楷体" w:hAnsi="楷体" w:eastAsia="黑体" w:cs="楷体"/>
          <w:sz w:val="32"/>
          <w:szCs w:val="32"/>
        </w:rPr>
        <w:t>条</w:t>
      </w:r>
      <w:r>
        <w:rPr>
          <w:rFonts w:hint="eastAsia" w:ascii="仿宋" w:hAnsi="仿宋" w:eastAsia="仿宋" w:cs="仿宋"/>
          <w:sz w:val="32"/>
          <w:szCs w:val="32"/>
        </w:rPr>
        <w:t xml:space="preserve"> </w:t>
      </w:r>
      <w:r>
        <w:rPr>
          <w:rFonts w:ascii="仿宋" w:hAnsi="仿宋" w:eastAsia="仿宋" w:cs="仿宋"/>
          <w:sz w:val="32"/>
          <w:szCs w:val="32"/>
        </w:rPr>
        <w:t>在未作出申诉处理决定前，申诉学生可以撤回申诉。要求撤回申诉的，必须以书面形式提出。</w:t>
      </w:r>
      <w:r>
        <w:rPr>
          <w:rFonts w:hint="eastAsia" w:ascii="仿宋" w:hAnsi="仿宋" w:eastAsia="仿宋" w:cs="仿宋"/>
          <w:sz w:val="32"/>
          <w:szCs w:val="32"/>
        </w:rPr>
        <w:t>学校</w:t>
      </w:r>
      <w:r>
        <w:rPr>
          <w:rFonts w:ascii="仿宋" w:hAnsi="仿宋" w:eastAsia="仿宋" w:cs="仿宋"/>
          <w:sz w:val="32"/>
          <w:szCs w:val="32"/>
        </w:rPr>
        <w:t>学生申诉处理委员会</w:t>
      </w:r>
      <w:r>
        <w:rPr>
          <w:rFonts w:hint="eastAsia" w:ascii="仿宋" w:hAnsi="仿宋" w:eastAsia="仿宋" w:cs="仿宋"/>
          <w:sz w:val="32"/>
          <w:szCs w:val="32"/>
        </w:rPr>
        <w:t>办公室</w:t>
      </w:r>
      <w:r>
        <w:rPr>
          <w:rFonts w:ascii="仿宋" w:hAnsi="仿宋" w:eastAsia="仿宋" w:cs="仿宋"/>
          <w:sz w:val="32"/>
          <w:szCs w:val="32"/>
        </w:rPr>
        <w:t>在接到撤回申诉的申请书后，如申诉</w:t>
      </w:r>
      <w:r>
        <w:rPr>
          <w:rFonts w:hint="eastAsia" w:ascii="仿宋" w:hAnsi="仿宋" w:eastAsia="仿宋" w:cs="仿宋"/>
          <w:sz w:val="32"/>
          <w:szCs w:val="32"/>
        </w:rPr>
        <w:t>学生</w:t>
      </w:r>
      <w:r>
        <w:rPr>
          <w:rFonts w:ascii="仿宋" w:hAnsi="仿宋" w:eastAsia="仿宋" w:cs="仿宋"/>
          <w:sz w:val="32"/>
          <w:szCs w:val="32"/>
        </w:rPr>
        <w:t>再以同一事由提起申诉，可不予受理。</w:t>
      </w:r>
    </w:p>
    <w:p w14:paraId="21D710A9">
      <w:pPr>
        <w:keepNext w:val="0"/>
        <w:keepLines w:val="0"/>
        <w:pageBreakBefore w:val="0"/>
        <w:widowControl w:val="0"/>
        <w:tabs>
          <w:tab w:val="left" w:pos="2223"/>
        </w:tabs>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楷体" w:hAnsi="仿宋" w:eastAsia="黑体" w:cs="仿宋"/>
          <w:sz w:val="32"/>
          <w:szCs w:val="32"/>
        </w:rPr>
        <w:t>第十</w:t>
      </w:r>
      <w:r>
        <w:rPr>
          <w:rFonts w:hint="eastAsia" w:ascii="楷体" w:hAnsi="仿宋" w:eastAsia="黑体" w:cs="仿宋"/>
          <w:sz w:val="32"/>
          <w:szCs w:val="32"/>
          <w:lang w:val="en-US" w:eastAsia="zh-CN"/>
        </w:rPr>
        <w:t>五</w:t>
      </w:r>
      <w:r>
        <w:rPr>
          <w:rFonts w:hint="eastAsia" w:ascii="楷体" w:hAnsi="仿宋" w:eastAsia="黑体" w:cs="仿宋"/>
          <w:sz w:val="32"/>
          <w:szCs w:val="32"/>
        </w:rPr>
        <w:t>条</w:t>
      </w:r>
      <w:r>
        <w:rPr>
          <w:rFonts w:hint="eastAsia" w:ascii="仿宋" w:hAnsi="仿宋" w:eastAsia="仿宋" w:cs="仿宋"/>
          <w:sz w:val="32"/>
          <w:szCs w:val="32"/>
        </w:rPr>
        <w:t xml:space="preserve"> 学校学生申诉处理委员会处理申诉事项，可组成专门小组对申诉事项进行复查。复查按以下程序进行：</w:t>
      </w:r>
    </w:p>
    <w:p w14:paraId="52A6E7BA">
      <w:pPr>
        <w:keepNext w:val="0"/>
        <w:keepLines w:val="0"/>
        <w:pageBreakBefore w:val="0"/>
        <w:widowControl w:val="0"/>
        <w:kinsoku/>
        <w:wordWrap/>
        <w:overflowPunct/>
        <w:topLinePunct w:val="0"/>
        <w:autoSpaceDE w:val="0"/>
        <w:autoSpaceDN w:val="0"/>
        <w:bidi w:val="0"/>
        <w:adjustRightInd/>
        <w:snapToGrid/>
        <w:spacing w:line="580" w:lineRule="exact"/>
        <w:ind w:firstLine="624" w:firstLineChars="200"/>
        <w:textAlignment w:val="auto"/>
        <w:rPr>
          <w:rFonts w:hint="eastAsia" w:ascii="仿宋" w:hAnsi="仿宋" w:eastAsia="仿宋" w:cs="仿宋"/>
          <w:sz w:val="32"/>
          <w:szCs w:val="32"/>
        </w:rPr>
      </w:pPr>
      <w:r>
        <w:rPr>
          <w:rFonts w:hint="eastAsia" w:ascii="楷体" w:hAnsi="楷体" w:eastAsia="楷体" w:cs="楷体"/>
          <w:spacing w:val="-4"/>
          <w:kern w:val="0"/>
          <w:sz w:val="32"/>
          <w:szCs w:val="32"/>
          <w:lang w:val="en-US" w:eastAsia="zh-CN" w:bidi="ar-SA"/>
        </w:rPr>
        <w:t>（一）</w:t>
      </w:r>
      <w:r>
        <w:rPr>
          <w:rFonts w:hint="eastAsia" w:ascii="仿宋" w:hAnsi="仿宋" w:eastAsia="仿宋" w:cs="仿宋"/>
          <w:sz w:val="32"/>
          <w:szCs w:val="32"/>
        </w:rPr>
        <w:t>举证。被申诉部门有义务在接到学校学生申诉处理委员会举证通知后的七个工作日内，对申诉学生提出的异议作出书面答复并提供相关证据。凡在规定时间内被申诉单位没有提供相应证据的，视为没有证据。</w:t>
      </w:r>
    </w:p>
    <w:p w14:paraId="7EB9F65C">
      <w:pPr>
        <w:keepNext w:val="0"/>
        <w:keepLines w:val="0"/>
        <w:pageBreakBefore w:val="0"/>
        <w:widowControl w:val="0"/>
        <w:kinsoku/>
        <w:wordWrap/>
        <w:overflowPunct/>
        <w:topLinePunct w:val="0"/>
        <w:autoSpaceDE w:val="0"/>
        <w:autoSpaceDN w:val="0"/>
        <w:bidi w:val="0"/>
        <w:adjustRightInd/>
        <w:snapToGrid/>
        <w:spacing w:line="580" w:lineRule="exact"/>
        <w:ind w:firstLine="624" w:firstLineChars="200"/>
        <w:textAlignment w:val="auto"/>
        <w:rPr>
          <w:rFonts w:hint="eastAsia" w:ascii="仿宋" w:hAnsi="仿宋" w:eastAsia="仿宋" w:cs="仿宋"/>
          <w:sz w:val="32"/>
          <w:szCs w:val="32"/>
        </w:rPr>
      </w:pPr>
      <w:r>
        <w:rPr>
          <w:rFonts w:hint="eastAsia" w:ascii="楷体" w:hAnsi="楷体" w:eastAsia="楷体" w:cs="楷体"/>
          <w:spacing w:val="-4"/>
          <w:kern w:val="0"/>
          <w:sz w:val="32"/>
          <w:szCs w:val="32"/>
          <w:lang w:val="en-US" w:eastAsia="zh-CN" w:bidi="ar-SA"/>
        </w:rPr>
        <w:t>（二）</w:t>
      </w:r>
      <w:r>
        <w:rPr>
          <w:rFonts w:hint="eastAsia" w:ascii="仿宋" w:hAnsi="仿宋" w:eastAsia="仿宋" w:cs="仿宋"/>
          <w:sz w:val="32"/>
          <w:szCs w:val="32"/>
        </w:rPr>
        <w:t>质证。学校学生申诉处理委员会组织申诉学生、被申诉部门双方（下称“当事人双方”）对所提交的证据进行质证，质证与辩论以公开方式进行，但当事人要求不公开的，应当尊重当事人的意见。质证情况应当记入笔录，并由当事人双方核对后签名或盖章。</w:t>
      </w:r>
    </w:p>
    <w:p w14:paraId="3F2D2394">
      <w:pPr>
        <w:keepNext w:val="0"/>
        <w:keepLines w:val="0"/>
        <w:pageBreakBefore w:val="0"/>
        <w:widowControl w:val="0"/>
        <w:kinsoku/>
        <w:wordWrap/>
        <w:overflowPunct/>
        <w:topLinePunct w:val="0"/>
        <w:autoSpaceDE w:val="0"/>
        <w:autoSpaceDN w:val="0"/>
        <w:bidi w:val="0"/>
        <w:adjustRightInd/>
        <w:snapToGrid/>
        <w:spacing w:line="580" w:lineRule="exact"/>
        <w:ind w:firstLine="624" w:firstLineChars="200"/>
        <w:textAlignment w:val="auto"/>
        <w:rPr>
          <w:rFonts w:hint="eastAsia" w:ascii="仿宋" w:hAnsi="仿宋" w:eastAsia="仿宋" w:cs="仿宋"/>
          <w:sz w:val="32"/>
          <w:szCs w:val="32"/>
        </w:rPr>
      </w:pPr>
      <w:r>
        <w:rPr>
          <w:rFonts w:hint="eastAsia" w:ascii="楷体" w:hAnsi="楷体" w:eastAsia="楷体" w:cs="楷体"/>
          <w:spacing w:val="-4"/>
          <w:kern w:val="0"/>
          <w:sz w:val="32"/>
          <w:szCs w:val="32"/>
          <w:lang w:val="en-US" w:eastAsia="zh-CN" w:bidi="ar-SA"/>
        </w:rPr>
        <w:t>（三）</w:t>
      </w:r>
      <w:r>
        <w:rPr>
          <w:rFonts w:hint="eastAsia" w:ascii="仿宋" w:hAnsi="仿宋" w:eastAsia="仿宋" w:cs="仿宋"/>
          <w:sz w:val="32"/>
          <w:szCs w:val="32"/>
        </w:rPr>
        <w:t>证据审核认定。学校学生申诉处理委员会根据当事人双方的质证和辩论意见，对证据进行审核认定，并由与会申诉处理委员会委员签字留据。</w:t>
      </w:r>
    </w:p>
    <w:p w14:paraId="41BABDDB">
      <w:pPr>
        <w:keepNext w:val="0"/>
        <w:keepLines w:val="0"/>
        <w:pageBreakBefore w:val="0"/>
        <w:widowControl w:val="0"/>
        <w:kinsoku/>
        <w:wordWrap/>
        <w:overflowPunct/>
        <w:topLinePunct w:val="0"/>
        <w:autoSpaceDE w:val="0"/>
        <w:autoSpaceDN w:val="0"/>
        <w:bidi w:val="0"/>
        <w:adjustRightInd/>
        <w:snapToGrid/>
        <w:spacing w:line="580" w:lineRule="exact"/>
        <w:ind w:firstLine="624" w:firstLineChars="200"/>
        <w:textAlignment w:val="auto"/>
        <w:rPr>
          <w:rFonts w:hint="eastAsia" w:ascii="仿宋" w:hAnsi="仿宋" w:eastAsia="仿宋" w:cs="仿宋"/>
          <w:sz w:val="32"/>
          <w:szCs w:val="32"/>
        </w:rPr>
      </w:pPr>
      <w:r>
        <w:rPr>
          <w:rFonts w:hint="eastAsia" w:ascii="楷体" w:hAnsi="楷体" w:eastAsia="楷体" w:cs="楷体"/>
          <w:spacing w:val="-4"/>
          <w:kern w:val="0"/>
          <w:sz w:val="32"/>
          <w:szCs w:val="32"/>
          <w:lang w:val="en-US" w:eastAsia="zh-CN" w:bidi="ar-SA"/>
        </w:rPr>
        <w:t>（四）</w:t>
      </w:r>
      <w:r>
        <w:rPr>
          <w:rFonts w:hint="eastAsia" w:ascii="仿宋" w:hAnsi="仿宋" w:eastAsia="仿宋" w:cs="仿宋"/>
          <w:sz w:val="32"/>
          <w:szCs w:val="32"/>
        </w:rPr>
        <w:t>调解。对可适用调解的申诉事项，学校学生申诉处理委员会可在事实清楚、且双方自愿的基础上进行调解。当事人经调解达成一致的，应当形成调解书，经当事双方签字（盖章）后生效。申诉学生不得就已生效的调解再次向</w:t>
      </w:r>
      <w:r>
        <w:rPr>
          <w:rFonts w:hint="eastAsia" w:ascii="仿宋" w:hAnsi="仿宋" w:eastAsia="仿宋" w:cs="仿宋"/>
          <w:sz w:val="32"/>
          <w:szCs w:val="32"/>
          <w:lang w:val="en-US" w:eastAsia="zh-CN"/>
        </w:rPr>
        <w:t>学校学生</w:t>
      </w:r>
      <w:r>
        <w:rPr>
          <w:rFonts w:hint="eastAsia" w:ascii="仿宋" w:hAnsi="仿宋" w:eastAsia="仿宋" w:cs="仿宋"/>
          <w:sz w:val="32"/>
          <w:szCs w:val="32"/>
        </w:rPr>
        <w:t>申诉处理委员会提起申诉；若调解不成，不影响学校学生申诉处理委员会对申诉事项作出处理决定。</w:t>
      </w:r>
    </w:p>
    <w:p w14:paraId="5AF9406D">
      <w:pPr>
        <w:pStyle w:val="2"/>
        <w:keepNext w:val="0"/>
        <w:keepLines w:val="0"/>
        <w:pageBreakBefore w:val="0"/>
        <w:widowControl w:val="0"/>
        <w:kinsoku/>
        <w:wordWrap/>
        <w:overflowPunct/>
        <w:topLinePunct w:val="0"/>
        <w:bidi w:val="0"/>
        <w:adjustRightInd/>
        <w:snapToGrid/>
        <w:spacing w:line="580" w:lineRule="exact"/>
        <w:ind w:firstLine="640" w:firstLineChars="200"/>
        <w:jc w:val="both"/>
        <w:textAlignment w:val="auto"/>
        <w:rPr>
          <w:rFonts w:hint="eastAsia" w:ascii="仿宋" w:hAnsi="仿宋" w:eastAsia="仿宋" w:cs="仿宋"/>
          <w:sz w:val="32"/>
          <w:szCs w:val="32"/>
          <w:lang w:eastAsia="zh-CN"/>
        </w:rPr>
      </w:pPr>
      <w:r>
        <w:rPr>
          <w:rFonts w:hint="eastAsia" w:ascii="楷体" w:hAnsi="仿宋" w:eastAsia="黑体" w:cs="仿宋"/>
          <w:sz w:val="32"/>
          <w:szCs w:val="32"/>
        </w:rPr>
        <w:t>第十</w:t>
      </w:r>
      <w:r>
        <w:rPr>
          <w:rFonts w:hint="eastAsia" w:ascii="楷体" w:hAnsi="仿宋" w:eastAsia="黑体" w:cs="仿宋"/>
          <w:sz w:val="32"/>
          <w:szCs w:val="32"/>
          <w:lang w:val="en-US" w:eastAsia="zh-CN"/>
        </w:rPr>
        <w:t>六</w:t>
      </w:r>
      <w:r>
        <w:rPr>
          <w:rFonts w:hint="eastAsia" w:ascii="楷体" w:hAnsi="仿宋" w:eastAsia="黑体" w:cs="仿宋"/>
          <w:sz w:val="32"/>
          <w:szCs w:val="32"/>
        </w:rPr>
        <w:t xml:space="preserve">条 </w:t>
      </w:r>
      <w:r>
        <w:rPr>
          <w:rFonts w:hint="eastAsia" w:ascii="仿宋" w:hAnsi="仿宋" w:eastAsia="仿宋" w:cs="仿宋"/>
          <w:sz w:val="32"/>
          <w:szCs w:val="32"/>
        </w:rPr>
        <w:t>学校学生申诉处理委员会采取会议表决的方式就申诉事项进行裁决，会议须有2/3委员出席方为有效，会议表决实行无记名投票制。决议意见必须获得学校</w:t>
      </w:r>
      <w:r>
        <w:rPr>
          <w:rFonts w:hint="eastAsia" w:ascii="仿宋" w:hAnsi="仿宋" w:eastAsia="仿宋" w:cs="仿宋"/>
          <w:sz w:val="32"/>
          <w:szCs w:val="32"/>
          <w:lang w:val="en-US" w:eastAsia="zh-CN"/>
        </w:rPr>
        <w:t>学生</w:t>
      </w:r>
      <w:r>
        <w:rPr>
          <w:rFonts w:hint="eastAsia" w:ascii="仿宋" w:hAnsi="仿宋" w:eastAsia="仿宋" w:cs="仿宋"/>
          <w:sz w:val="32"/>
          <w:szCs w:val="32"/>
        </w:rPr>
        <w:t>申诉处理委员会到会成员2/3以上人员赞成，方为有效。委员因故不能出席会议时，不得委托代理。</w:t>
      </w:r>
      <w:r>
        <w:rPr>
          <w:rFonts w:hint="eastAsia" w:ascii="仿宋" w:hAnsi="仿宋" w:eastAsia="仿宋" w:cs="仿宋"/>
          <w:sz w:val="32"/>
          <w:szCs w:val="32"/>
          <w:lang w:eastAsia="zh-CN"/>
        </w:rPr>
        <w:t>学校学生申诉处理委员会生成最终裁决结论后，应形成书面申诉处理决定，申诉处理决定应以书面形式分别送达申诉人和被申诉人。</w:t>
      </w:r>
    </w:p>
    <w:p w14:paraId="1D336C2B">
      <w:pPr>
        <w:keepNext w:val="0"/>
        <w:keepLines w:val="0"/>
        <w:pageBreakBefore w:val="0"/>
        <w:widowControl w:val="0"/>
        <w:tabs>
          <w:tab w:val="left" w:pos="2525"/>
        </w:tabs>
        <w:kinsoku/>
        <w:wordWrap/>
        <w:overflowPunct/>
        <w:topLinePunct w:val="0"/>
        <w:autoSpaceDE w:val="0"/>
        <w:autoSpaceDN w:val="0"/>
        <w:bidi w:val="0"/>
        <w:adjustRightInd/>
        <w:snapToGrid/>
        <w:spacing w:line="580" w:lineRule="exact"/>
        <w:ind w:firstLine="640" w:firstLineChars="200"/>
        <w:textAlignment w:val="auto"/>
        <w:rPr>
          <w:rFonts w:ascii="仿宋" w:hAnsi="仿宋" w:eastAsia="仿宋" w:cs="仿宋"/>
          <w:sz w:val="32"/>
          <w:szCs w:val="32"/>
        </w:rPr>
      </w:pPr>
      <w:r>
        <w:rPr>
          <w:rFonts w:hint="eastAsia" w:ascii="楷体" w:hAnsi="仿宋" w:eastAsia="黑体" w:cs="仿宋"/>
          <w:sz w:val="32"/>
          <w:szCs w:val="32"/>
        </w:rPr>
        <w:t>第</w:t>
      </w:r>
      <w:r>
        <w:rPr>
          <w:rFonts w:hint="eastAsia" w:ascii="楷体" w:hAnsi="仿宋" w:eastAsia="黑体" w:cs="仿宋"/>
          <w:sz w:val="32"/>
          <w:szCs w:val="32"/>
          <w:lang w:val="en-US" w:eastAsia="zh-CN"/>
        </w:rPr>
        <w:t>十七</w:t>
      </w:r>
      <w:r>
        <w:rPr>
          <w:rFonts w:hint="eastAsia" w:ascii="楷体" w:hAnsi="仿宋" w:eastAsia="黑体" w:cs="仿宋"/>
          <w:sz w:val="32"/>
          <w:szCs w:val="32"/>
        </w:rPr>
        <w:t xml:space="preserve">条 </w:t>
      </w:r>
      <w:r>
        <w:rPr>
          <w:rFonts w:ascii="仿宋" w:hAnsi="仿宋" w:eastAsia="仿宋" w:cs="仿宋"/>
          <w:sz w:val="32"/>
          <w:szCs w:val="32"/>
        </w:rPr>
        <w:t>申诉处理决定书直接送达</w:t>
      </w:r>
      <w:r>
        <w:rPr>
          <w:rFonts w:hint="eastAsia" w:ascii="仿宋" w:hAnsi="仿宋" w:eastAsia="仿宋" w:cs="仿宋"/>
          <w:sz w:val="32"/>
          <w:szCs w:val="32"/>
        </w:rPr>
        <w:t>申诉</w:t>
      </w:r>
      <w:r>
        <w:rPr>
          <w:rFonts w:ascii="仿宋" w:hAnsi="仿宋" w:eastAsia="仿宋" w:cs="仿宋"/>
          <w:sz w:val="32"/>
          <w:szCs w:val="32"/>
        </w:rPr>
        <w:t>学生本人</w:t>
      </w:r>
      <w:r>
        <w:rPr>
          <w:rFonts w:hint="eastAsia" w:ascii="仿宋" w:hAnsi="仿宋" w:eastAsia="仿宋" w:cs="仿宋"/>
          <w:sz w:val="32"/>
          <w:szCs w:val="32"/>
          <w:lang w:val="en-US" w:eastAsia="zh-CN"/>
        </w:rPr>
        <w:t>时</w:t>
      </w:r>
      <w:r>
        <w:rPr>
          <w:rFonts w:ascii="仿宋" w:hAnsi="仿宋" w:eastAsia="仿宋" w:cs="仿宋"/>
          <w:sz w:val="32"/>
          <w:szCs w:val="32"/>
        </w:rPr>
        <w:t>，</w:t>
      </w:r>
      <w:r>
        <w:rPr>
          <w:rFonts w:hint="eastAsia" w:ascii="仿宋" w:hAnsi="仿宋" w:eastAsia="仿宋" w:cs="仿宋"/>
          <w:sz w:val="32"/>
          <w:szCs w:val="32"/>
        </w:rPr>
        <w:t>申诉</w:t>
      </w:r>
      <w:r>
        <w:rPr>
          <w:rFonts w:ascii="仿宋" w:hAnsi="仿宋" w:eastAsia="仿宋" w:cs="仿宋"/>
          <w:sz w:val="32"/>
          <w:szCs w:val="32"/>
        </w:rPr>
        <w:t>学生拒绝签收的，可以以留置方式送达；已离校的，可以采取邮寄方式送达；难</w:t>
      </w:r>
      <w:r>
        <w:rPr>
          <w:rFonts w:hint="eastAsia" w:ascii="仿宋" w:hAnsi="仿宋" w:eastAsia="仿宋" w:cs="仿宋"/>
          <w:sz w:val="32"/>
          <w:szCs w:val="32"/>
          <w:lang w:val="en-US" w:eastAsia="zh-CN"/>
        </w:rPr>
        <w:t>以</w:t>
      </w:r>
      <w:r>
        <w:rPr>
          <w:rFonts w:ascii="仿宋" w:hAnsi="仿宋" w:eastAsia="仿宋" w:cs="仿宋"/>
          <w:sz w:val="32"/>
          <w:szCs w:val="32"/>
        </w:rPr>
        <w:t>联系的，可以利用学校网站、新闻媒体等以公告方式送达。</w:t>
      </w:r>
    </w:p>
    <w:p w14:paraId="10F6E3F8">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楷体" w:hAnsi="楷体" w:eastAsia="黑体" w:cs="楷体"/>
          <w:sz w:val="32"/>
          <w:szCs w:val="32"/>
        </w:rPr>
        <w:t>第十</w:t>
      </w:r>
      <w:r>
        <w:rPr>
          <w:rFonts w:hint="eastAsia" w:ascii="楷体" w:hAnsi="楷体" w:eastAsia="黑体" w:cs="楷体"/>
          <w:sz w:val="32"/>
          <w:szCs w:val="32"/>
          <w:lang w:val="en-US" w:eastAsia="zh-CN"/>
        </w:rPr>
        <w:t>八</w:t>
      </w:r>
      <w:r>
        <w:rPr>
          <w:rFonts w:hint="eastAsia" w:ascii="楷体" w:hAnsi="楷体" w:eastAsia="黑体" w:cs="楷体"/>
          <w:sz w:val="32"/>
          <w:szCs w:val="32"/>
        </w:rPr>
        <w:t>条</w:t>
      </w:r>
      <w:r>
        <w:rPr>
          <w:rFonts w:hint="eastAsia" w:ascii="仿宋" w:hAnsi="仿宋" w:eastAsia="仿宋" w:cs="仿宋"/>
          <w:sz w:val="32"/>
          <w:szCs w:val="32"/>
        </w:rPr>
        <w:t xml:space="preserve"> 学校学生申诉处理委员会就申诉事项进行裁决时采用不公开方式，委员意见应予保密；申诉处理决定书未送达申诉人和被申诉人前，不得公开处理决定。涉及当事人隐私的申诉事项、当事人的基本资料应予保密。</w:t>
      </w:r>
    </w:p>
    <w:p w14:paraId="6A9451CB">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 w:hAnsi="仿宋" w:eastAsia="仿宋" w:cs="仿宋"/>
          <w:sz w:val="32"/>
          <w:szCs w:val="32"/>
        </w:rPr>
      </w:pPr>
      <w:r>
        <w:rPr>
          <w:rFonts w:hint="eastAsia" w:ascii="楷体" w:hAnsi="楷体" w:eastAsia="黑体" w:cs="楷体"/>
          <w:sz w:val="32"/>
          <w:szCs w:val="32"/>
        </w:rPr>
        <w:t>第</w:t>
      </w:r>
      <w:r>
        <w:rPr>
          <w:rFonts w:hint="eastAsia" w:ascii="楷体" w:hAnsi="楷体" w:eastAsia="黑体" w:cs="楷体"/>
          <w:sz w:val="32"/>
          <w:szCs w:val="32"/>
          <w:lang w:val="en-US" w:eastAsia="zh-CN"/>
        </w:rPr>
        <w:t>十九</w:t>
      </w:r>
      <w:r>
        <w:rPr>
          <w:rFonts w:hint="eastAsia" w:ascii="楷体" w:hAnsi="楷体" w:eastAsia="黑体" w:cs="楷体"/>
          <w:sz w:val="32"/>
          <w:szCs w:val="32"/>
        </w:rPr>
        <w:t>条</w:t>
      </w:r>
      <w:r>
        <w:rPr>
          <w:rFonts w:hint="eastAsia" w:ascii="仿宋" w:hAnsi="仿宋" w:eastAsia="仿宋" w:cs="仿宋"/>
          <w:sz w:val="32"/>
          <w:szCs w:val="32"/>
        </w:rPr>
        <w:t xml:space="preserve"> 学校学生申诉处理委员会评议时应当如实制作笔录（包含不同意见），由学校学生申诉处理委员会成员签名。</w:t>
      </w:r>
    </w:p>
    <w:p w14:paraId="503ADCE2">
      <w:pPr>
        <w:keepNext w:val="0"/>
        <w:keepLines w:val="0"/>
        <w:pageBreakBefore w:val="0"/>
        <w:widowControl w:val="0"/>
        <w:tabs>
          <w:tab w:val="left" w:pos="2525"/>
        </w:tabs>
        <w:kinsoku/>
        <w:wordWrap/>
        <w:overflowPunct/>
        <w:topLinePunct w:val="0"/>
        <w:autoSpaceDE w:val="0"/>
        <w:autoSpaceDN w:val="0"/>
        <w:bidi w:val="0"/>
        <w:adjustRightInd/>
        <w:snapToGrid/>
        <w:spacing w:line="580" w:lineRule="exact"/>
        <w:ind w:firstLine="640" w:firstLineChars="200"/>
        <w:textAlignment w:val="auto"/>
        <w:rPr>
          <w:rFonts w:ascii="仿宋" w:hAnsi="仿宋" w:eastAsia="仿宋" w:cs="仿宋"/>
          <w:sz w:val="32"/>
          <w:szCs w:val="32"/>
        </w:rPr>
      </w:pPr>
      <w:r>
        <w:rPr>
          <w:rFonts w:hint="eastAsia" w:ascii="楷体" w:hAnsi="楷体" w:eastAsia="黑体" w:cs="楷体"/>
          <w:sz w:val="32"/>
          <w:szCs w:val="32"/>
        </w:rPr>
        <w:t>第二十条</w:t>
      </w:r>
      <w:r>
        <w:rPr>
          <w:rFonts w:hint="eastAsia" w:ascii="仿宋" w:hAnsi="仿宋" w:eastAsia="仿宋" w:cs="仿宋"/>
          <w:sz w:val="32"/>
          <w:szCs w:val="32"/>
        </w:rPr>
        <w:t xml:space="preserve"> 处理申诉事项的学校学生申诉处理委员会委员与申诉、被申诉部门有利害关系可能影响公正处理的，应当申请回避。对申诉学生实施处分（处理）的部门、申诉学生所在教学单位委员应当回避。</w:t>
      </w:r>
    </w:p>
    <w:p w14:paraId="38E3DF06">
      <w:pPr>
        <w:keepNext w:val="0"/>
        <w:keepLines w:val="0"/>
        <w:pageBreakBefore w:val="0"/>
        <w:widowControl w:val="0"/>
        <w:tabs>
          <w:tab w:val="left" w:pos="1925"/>
          <w:tab w:val="left" w:pos="2525"/>
        </w:tabs>
        <w:kinsoku/>
        <w:wordWrap/>
        <w:overflowPunct/>
        <w:topLinePunct w:val="0"/>
        <w:autoSpaceDE w:val="0"/>
        <w:autoSpaceDN w:val="0"/>
        <w:bidi w:val="0"/>
        <w:adjustRightInd/>
        <w:snapToGrid/>
        <w:spacing w:line="580" w:lineRule="exact"/>
        <w:ind w:firstLine="640" w:firstLineChars="200"/>
        <w:textAlignment w:val="auto"/>
        <w:rPr>
          <w:rFonts w:ascii="仿宋" w:hAnsi="仿宋" w:eastAsia="仿宋" w:cs="仿宋"/>
          <w:spacing w:val="-9"/>
          <w:sz w:val="32"/>
          <w:szCs w:val="32"/>
        </w:rPr>
      </w:pPr>
      <w:r>
        <w:rPr>
          <w:rFonts w:hint="eastAsia" w:ascii="楷体" w:hAnsi="仿宋" w:eastAsia="黑体" w:cs="仿宋"/>
          <w:sz w:val="32"/>
          <w:szCs w:val="32"/>
        </w:rPr>
        <w:t>第二十</w:t>
      </w:r>
      <w:r>
        <w:rPr>
          <w:rFonts w:hint="eastAsia" w:ascii="楷体" w:hAnsi="仿宋" w:eastAsia="黑体" w:cs="仿宋"/>
          <w:sz w:val="32"/>
          <w:szCs w:val="32"/>
          <w:lang w:val="en-US" w:eastAsia="zh-CN"/>
        </w:rPr>
        <w:t>一</w:t>
      </w:r>
      <w:r>
        <w:rPr>
          <w:rFonts w:hint="eastAsia" w:ascii="楷体" w:hAnsi="仿宋" w:eastAsia="黑体" w:cs="仿宋"/>
          <w:sz w:val="32"/>
          <w:szCs w:val="32"/>
        </w:rPr>
        <w:t xml:space="preserve">条 </w:t>
      </w:r>
      <w:r>
        <w:rPr>
          <w:rFonts w:ascii="仿宋" w:hAnsi="仿宋" w:eastAsia="仿宋" w:cs="仿宋"/>
          <w:sz w:val="32"/>
          <w:szCs w:val="32"/>
        </w:rPr>
        <w:t>对</w:t>
      </w:r>
      <w:r>
        <w:rPr>
          <w:rFonts w:hint="eastAsia" w:ascii="仿宋" w:hAnsi="仿宋" w:eastAsia="仿宋" w:cs="仿宋"/>
          <w:sz w:val="32"/>
          <w:szCs w:val="32"/>
        </w:rPr>
        <w:t>学校</w:t>
      </w:r>
      <w:r>
        <w:rPr>
          <w:rFonts w:ascii="仿宋" w:hAnsi="仿宋" w:eastAsia="仿宋" w:cs="仿宋"/>
          <w:sz w:val="32"/>
          <w:szCs w:val="32"/>
        </w:rPr>
        <w:t>学生申诉处理委员会作出的决议有异议的</w:t>
      </w:r>
      <w:r>
        <w:rPr>
          <w:rFonts w:hint="eastAsia" w:ascii="仿宋" w:hAnsi="仿宋" w:eastAsia="仿宋" w:cs="仿宋"/>
          <w:sz w:val="32"/>
          <w:szCs w:val="32"/>
        </w:rPr>
        <w:t>申诉</w:t>
      </w:r>
      <w:r>
        <w:rPr>
          <w:rFonts w:ascii="仿宋" w:hAnsi="仿宋" w:eastAsia="仿宋" w:cs="仿宋"/>
          <w:sz w:val="32"/>
          <w:szCs w:val="32"/>
        </w:rPr>
        <w:t>学生，</w:t>
      </w:r>
      <w:r>
        <w:rPr>
          <w:rFonts w:hint="eastAsia" w:ascii="仿宋" w:hAnsi="仿宋" w:eastAsia="仿宋" w:cs="仿宋"/>
          <w:spacing w:val="-9"/>
          <w:sz w:val="32"/>
          <w:szCs w:val="32"/>
        </w:rPr>
        <w:t>可在收到申诉处理决定书的十五个工作日内以书面形式向上级行政机关提出申诉，逾期未向上级行政机关提出申诉的，申诉处理决定即行生效。</w:t>
      </w:r>
    </w:p>
    <w:p w14:paraId="6E5F7B85">
      <w:pPr>
        <w:keepNext w:val="0"/>
        <w:keepLines w:val="0"/>
        <w:pageBreakBefore w:val="0"/>
        <w:widowControl w:val="0"/>
        <w:tabs>
          <w:tab w:val="left" w:pos="2525"/>
        </w:tabs>
        <w:kinsoku/>
        <w:wordWrap/>
        <w:overflowPunct/>
        <w:topLinePunct w:val="0"/>
        <w:autoSpaceDE w:val="0"/>
        <w:autoSpaceDN w:val="0"/>
        <w:bidi w:val="0"/>
        <w:adjustRightInd/>
        <w:snapToGrid/>
        <w:spacing w:line="580" w:lineRule="exact"/>
        <w:ind w:firstLine="640" w:firstLineChars="200"/>
        <w:textAlignment w:val="auto"/>
        <w:rPr>
          <w:rFonts w:ascii="仿宋" w:hAnsi="仿宋" w:eastAsia="仿宋" w:cs="仿宋"/>
          <w:sz w:val="32"/>
          <w:szCs w:val="32"/>
        </w:rPr>
      </w:pPr>
      <w:r>
        <w:rPr>
          <w:rFonts w:hint="eastAsia" w:ascii="楷体" w:hAnsi="仿宋" w:eastAsia="黑体" w:cs="仿宋"/>
          <w:kern w:val="0"/>
          <w:sz w:val="32"/>
          <w:szCs w:val="32"/>
        </w:rPr>
        <w:t>第</w:t>
      </w:r>
      <w:r>
        <w:rPr>
          <w:rFonts w:hint="eastAsia" w:ascii="楷体" w:hAnsi="仿宋" w:eastAsia="黑体" w:cs="仿宋"/>
          <w:kern w:val="0"/>
          <w:sz w:val="32"/>
          <w:szCs w:val="32"/>
          <w:lang w:val="en-US" w:eastAsia="zh-CN"/>
        </w:rPr>
        <w:t>二十二</w:t>
      </w:r>
      <w:r>
        <w:rPr>
          <w:rFonts w:hint="eastAsia" w:ascii="楷体" w:hAnsi="仿宋" w:eastAsia="黑体" w:cs="仿宋"/>
          <w:kern w:val="0"/>
          <w:sz w:val="32"/>
          <w:szCs w:val="32"/>
        </w:rPr>
        <w:t xml:space="preserve">条 </w:t>
      </w:r>
      <w:r>
        <w:rPr>
          <w:rFonts w:hint="eastAsia" w:ascii="仿宋" w:hAnsi="仿宋" w:eastAsia="仿宋" w:cs="仿宋"/>
          <w:spacing w:val="-9"/>
          <w:sz w:val="32"/>
          <w:szCs w:val="32"/>
        </w:rPr>
        <w:t>学校学生申诉处理委员会</w:t>
      </w:r>
      <w:r>
        <w:rPr>
          <w:rFonts w:hint="eastAsia" w:ascii="仿宋" w:hAnsi="仿宋" w:eastAsia="仿宋" w:cs="仿宋"/>
          <w:sz w:val="32"/>
          <w:szCs w:val="32"/>
        </w:rPr>
        <w:t>委员及相关工作人员在履行职责过程中不得有违反程序、徇私舞弊或其</w:t>
      </w:r>
      <w:r>
        <w:rPr>
          <w:rFonts w:hint="eastAsia" w:ascii="仿宋" w:hAnsi="仿宋" w:eastAsia="仿宋" w:cs="仿宋"/>
          <w:sz w:val="32"/>
          <w:szCs w:val="32"/>
          <w:lang w:val="en-US" w:eastAsia="zh-CN"/>
        </w:rPr>
        <w:t>它</w:t>
      </w:r>
      <w:r>
        <w:rPr>
          <w:rFonts w:hint="eastAsia" w:ascii="仿宋" w:hAnsi="仿宋" w:eastAsia="仿宋" w:cs="仿宋"/>
          <w:sz w:val="32"/>
          <w:szCs w:val="32"/>
        </w:rPr>
        <w:t>失职、渎职行为，发现存在违规违纪的，将依据相关规定追究有关责任人的责任。</w:t>
      </w:r>
    </w:p>
    <w:p w14:paraId="42A54658">
      <w:pPr>
        <w:keepNext w:val="0"/>
        <w:keepLines w:val="0"/>
        <w:pageBreakBefore w:val="0"/>
        <w:widowControl w:val="0"/>
        <w:tabs>
          <w:tab w:val="left" w:pos="2525"/>
        </w:tabs>
        <w:kinsoku/>
        <w:wordWrap/>
        <w:overflowPunct/>
        <w:topLinePunct w:val="0"/>
        <w:autoSpaceDE w:val="0"/>
        <w:autoSpaceDN w:val="0"/>
        <w:bidi w:val="0"/>
        <w:adjustRightInd/>
        <w:snapToGrid/>
        <w:spacing w:line="580" w:lineRule="exact"/>
        <w:ind w:firstLine="640" w:firstLineChars="200"/>
        <w:textAlignment w:val="auto"/>
        <w:rPr>
          <w:rFonts w:ascii="仿宋" w:hAnsi="仿宋" w:eastAsia="仿宋" w:cs="仿宋"/>
          <w:sz w:val="32"/>
          <w:szCs w:val="32"/>
        </w:rPr>
      </w:pPr>
      <w:r>
        <w:rPr>
          <w:rFonts w:hint="eastAsia" w:ascii="楷体" w:hAnsi="仿宋" w:eastAsia="黑体" w:cs="仿宋"/>
          <w:sz w:val="32"/>
          <w:szCs w:val="32"/>
        </w:rPr>
        <w:t>第</w:t>
      </w:r>
      <w:r>
        <w:rPr>
          <w:rFonts w:hint="eastAsia" w:ascii="楷体" w:hAnsi="仿宋" w:eastAsia="黑体" w:cs="仿宋"/>
          <w:sz w:val="32"/>
          <w:szCs w:val="32"/>
          <w:lang w:val="en-US" w:eastAsia="zh-CN"/>
        </w:rPr>
        <w:t>二十三</w:t>
      </w:r>
      <w:r>
        <w:rPr>
          <w:rFonts w:hint="eastAsia" w:ascii="楷体" w:hAnsi="仿宋" w:eastAsia="黑体" w:cs="仿宋"/>
          <w:sz w:val="32"/>
          <w:szCs w:val="32"/>
        </w:rPr>
        <w:t xml:space="preserve">条 </w:t>
      </w:r>
      <w:r>
        <w:rPr>
          <w:rFonts w:ascii="仿宋" w:hAnsi="仿宋" w:eastAsia="仿宋" w:cs="仿宋"/>
          <w:sz w:val="32"/>
          <w:szCs w:val="32"/>
        </w:rPr>
        <w:t>对违纪处分和学籍处理提出申诉的，在申诉期间原处分（处理）决定继续有效。</w:t>
      </w:r>
    </w:p>
    <w:p w14:paraId="6271817B">
      <w:pPr>
        <w:pStyle w:val="2"/>
        <w:keepNext w:val="0"/>
        <w:keepLines w:val="0"/>
        <w:pageBreakBefore w:val="0"/>
        <w:widowControl w:val="0"/>
        <w:kinsoku/>
        <w:wordWrap/>
        <w:overflowPunct/>
        <w:topLinePunct w:val="0"/>
        <w:autoSpaceDE w:val="0"/>
        <w:autoSpaceDN w:val="0"/>
        <w:bidi w:val="0"/>
        <w:adjustRightInd/>
        <w:snapToGrid/>
        <w:spacing w:before="0" w:line="580" w:lineRule="exact"/>
        <w:ind w:firstLine="640" w:firstLineChars="200"/>
        <w:jc w:val="both"/>
        <w:textAlignment w:val="auto"/>
        <w:rPr>
          <w:rFonts w:eastAsia="仿宋"/>
          <w:spacing w:val="-4"/>
          <w:lang w:eastAsia="zh-CN"/>
        </w:rPr>
      </w:pPr>
      <w:r>
        <w:rPr>
          <w:rFonts w:hint="eastAsia" w:ascii="楷体" w:hAnsi="仿宋" w:eastAsia="黑体" w:cs="仿宋"/>
          <w:kern w:val="2"/>
          <w:sz w:val="32"/>
          <w:szCs w:val="32"/>
          <w:lang w:val="en-US" w:eastAsia="zh-CN" w:bidi="ar-SA"/>
        </w:rPr>
        <w:t>第二十四条</w:t>
      </w:r>
      <w:r>
        <w:rPr>
          <w:rFonts w:hint="eastAsia" w:eastAsia="仿宋"/>
          <w:spacing w:val="-4"/>
          <w:lang w:eastAsia="zh-CN"/>
        </w:rPr>
        <w:t xml:space="preserve"> </w:t>
      </w:r>
      <w:r>
        <w:rPr>
          <w:rFonts w:hint="eastAsia" w:ascii="仿宋" w:hAnsi="仿宋" w:eastAsia="仿宋" w:cs="仿宋"/>
          <w:kern w:val="2"/>
          <w:sz w:val="32"/>
          <w:szCs w:val="32"/>
          <w:lang w:val="en-US" w:eastAsia="zh-CN" w:bidi="ar-SA"/>
        </w:rPr>
        <w:t>本办法所涉及的时限，按照公历年月日计算，若遇公休日或法定节假日则顺延；若遇不可抗力或者其他正当理由耽误申诉期限的，则中止计算，待不可抗力影响或者障碍消除后，继续计算。本办法所称的“以内”均包括本数。</w:t>
      </w:r>
    </w:p>
    <w:p w14:paraId="5988861E">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ascii="仿宋" w:hAnsi="仿宋" w:eastAsia="仿宋" w:cs="仿宋"/>
          <w:sz w:val="32"/>
          <w:szCs w:val="32"/>
        </w:rPr>
      </w:pPr>
      <w:r>
        <w:rPr>
          <w:rFonts w:hint="eastAsia" w:ascii="楷体" w:hAnsi="仿宋" w:eastAsia="黑体" w:cs="仿宋"/>
          <w:kern w:val="0"/>
          <w:sz w:val="32"/>
          <w:szCs w:val="32"/>
        </w:rPr>
        <w:t>第</w:t>
      </w:r>
      <w:r>
        <w:rPr>
          <w:rFonts w:hint="eastAsia" w:ascii="楷体" w:hAnsi="仿宋" w:eastAsia="黑体" w:cs="仿宋"/>
          <w:kern w:val="0"/>
          <w:sz w:val="32"/>
          <w:szCs w:val="32"/>
          <w:lang w:val="en-US" w:eastAsia="zh-CN"/>
        </w:rPr>
        <w:t>二十五</w:t>
      </w:r>
      <w:r>
        <w:rPr>
          <w:rFonts w:hint="eastAsia" w:ascii="楷体" w:hAnsi="仿宋" w:eastAsia="黑体" w:cs="仿宋"/>
          <w:sz w:val="32"/>
          <w:szCs w:val="32"/>
        </w:rPr>
        <w:t>条</w:t>
      </w:r>
      <w:r>
        <w:rPr>
          <w:rFonts w:hint="eastAsia" w:ascii="仿宋" w:hAnsi="仿宋" w:eastAsia="仿宋" w:cs="仿宋"/>
          <w:sz w:val="32"/>
          <w:szCs w:val="32"/>
        </w:rPr>
        <w:t xml:space="preserve"> 本办法自印发之日起施行，由学校学生申诉处理委员会办公室负责解释。</w:t>
      </w:r>
    </w:p>
    <w:sectPr>
      <w:footerReference r:id="rId3" w:type="default"/>
      <w:footerReference r:id="rId4" w:type="even"/>
      <w:pgSz w:w="11906" w:h="16838"/>
      <w:pgMar w:top="2098" w:right="1474" w:bottom="1928" w:left="1587"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4ACC1">
    <w:pPr>
      <w:keepNext w:val="0"/>
      <w:keepLines w:val="0"/>
      <w:pageBreakBefore w:val="0"/>
      <w:widowControl w:val="0"/>
      <w:kinsoku/>
      <w:wordWrap/>
      <w:overflowPunct/>
      <w:topLinePunct w:val="0"/>
      <w:bidi w:val="0"/>
      <w:adjustRightInd/>
      <w:snapToGrid w:val="0"/>
      <w:ind w:left="0" w:leftChars="0" w:firstLine="7560" w:firstLineChars="2700"/>
      <w:jc w:val="left"/>
      <w:textAlignment w:val="auto"/>
      <w:rPr>
        <w:rFonts w:ascii="仿宋" w:hAnsi="仿宋" w:eastAsia="仿宋" w:cs="仿宋"/>
        <w:sz w:val="20"/>
        <w:szCs w:val="30"/>
        <w:lang w:eastAsia="en-US"/>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w:instrText>
    </w:r>
    <w:r>
      <w:rPr>
        <w:rFonts w:ascii="宋体" w:hAnsi="宋体" w:eastAsia="宋体" w:cs="宋体"/>
        <w:sz w:val="28"/>
        <w:szCs w:val="28"/>
      </w:rPr>
      <w:fldChar w:fldCharType="separate"/>
    </w:r>
    <w:r>
      <w:rPr>
        <w:rFonts w:ascii="宋体" w:hAnsi="宋体" w:eastAsia="宋体" w:cs="宋体"/>
        <w:sz w:val="21"/>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6B831">
    <w:pPr>
      <w:keepNext w:val="0"/>
      <w:keepLines w:val="0"/>
      <w:pageBreakBefore w:val="0"/>
      <w:widowControl w:val="0"/>
      <w:kinsoku/>
      <w:wordWrap/>
      <w:overflowPunct/>
      <w:topLinePunct w:val="0"/>
      <w:bidi w:val="0"/>
      <w:adjustRightInd/>
      <w:snapToGrid w:val="0"/>
      <w:ind w:firstLine="280" w:firstLineChars="100"/>
      <w:jc w:val="left"/>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w:instrText>
    </w:r>
    <w:r>
      <w:rPr>
        <w:rFonts w:ascii="宋体" w:hAnsi="宋体" w:eastAsia="宋体" w:cs="宋体"/>
        <w:sz w:val="28"/>
        <w:szCs w:val="28"/>
      </w:rPr>
      <w:fldChar w:fldCharType="separate"/>
    </w:r>
    <w:r>
      <w:rPr>
        <w:rFonts w:ascii="宋体" w:hAnsi="宋体" w:eastAsia="宋体" w:cs="宋体"/>
        <w:sz w:val="21"/>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ZWIzYjc4ZjQ3MjFkODZiN2QwMDNjOGVlM2Y1ZDYifQ=="/>
  </w:docVars>
  <w:rsids>
    <w:rsidRoot w:val="65597BAA"/>
    <w:rsid w:val="00001B5D"/>
    <w:rsid w:val="000502E9"/>
    <w:rsid w:val="00172F55"/>
    <w:rsid w:val="005C757C"/>
    <w:rsid w:val="006B5C73"/>
    <w:rsid w:val="00881E8E"/>
    <w:rsid w:val="00944D1C"/>
    <w:rsid w:val="009479BD"/>
    <w:rsid w:val="00997F28"/>
    <w:rsid w:val="009C10A8"/>
    <w:rsid w:val="00A6580B"/>
    <w:rsid w:val="00AF440A"/>
    <w:rsid w:val="00B24B09"/>
    <w:rsid w:val="00B7592E"/>
    <w:rsid w:val="00D506F7"/>
    <w:rsid w:val="00E54B2C"/>
    <w:rsid w:val="00F80314"/>
    <w:rsid w:val="0135217A"/>
    <w:rsid w:val="01EB76D7"/>
    <w:rsid w:val="02622BB2"/>
    <w:rsid w:val="02FA2A8C"/>
    <w:rsid w:val="032F47B1"/>
    <w:rsid w:val="038D6771"/>
    <w:rsid w:val="03AC7995"/>
    <w:rsid w:val="04087C12"/>
    <w:rsid w:val="04357810"/>
    <w:rsid w:val="04676213"/>
    <w:rsid w:val="04C74414"/>
    <w:rsid w:val="052B642C"/>
    <w:rsid w:val="05620DB4"/>
    <w:rsid w:val="05981AB4"/>
    <w:rsid w:val="06093CBE"/>
    <w:rsid w:val="066E40B8"/>
    <w:rsid w:val="066E7270"/>
    <w:rsid w:val="067E4C80"/>
    <w:rsid w:val="071265D0"/>
    <w:rsid w:val="07303E52"/>
    <w:rsid w:val="0736209D"/>
    <w:rsid w:val="07545A71"/>
    <w:rsid w:val="078C00CA"/>
    <w:rsid w:val="07B84ECE"/>
    <w:rsid w:val="07D54A66"/>
    <w:rsid w:val="081D72DE"/>
    <w:rsid w:val="082963BB"/>
    <w:rsid w:val="082D57D1"/>
    <w:rsid w:val="090D2937"/>
    <w:rsid w:val="09275AF5"/>
    <w:rsid w:val="092A1D81"/>
    <w:rsid w:val="096766EB"/>
    <w:rsid w:val="09AA6FCC"/>
    <w:rsid w:val="09DD2573"/>
    <w:rsid w:val="09E6654B"/>
    <w:rsid w:val="0A086CC2"/>
    <w:rsid w:val="0A972341"/>
    <w:rsid w:val="0A9F6B32"/>
    <w:rsid w:val="0ACC2CB7"/>
    <w:rsid w:val="0B2F2EB9"/>
    <w:rsid w:val="0B347684"/>
    <w:rsid w:val="0BC35E00"/>
    <w:rsid w:val="0BD337FC"/>
    <w:rsid w:val="0BE107DE"/>
    <w:rsid w:val="0BE7379B"/>
    <w:rsid w:val="0C1071E5"/>
    <w:rsid w:val="0C463121"/>
    <w:rsid w:val="0C501CC2"/>
    <w:rsid w:val="0C6F10F4"/>
    <w:rsid w:val="0CAA11DC"/>
    <w:rsid w:val="0CE72821"/>
    <w:rsid w:val="0D3D1A44"/>
    <w:rsid w:val="0D7473A8"/>
    <w:rsid w:val="0D904236"/>
    <w:rsid w:val="0D912E0A"/>
    <w:rsid w:val="0E321308"/>
    <w:rsid w:val="0E34508B"/>
    <w:rsid w:val="0E7E38C9"/>
    <w:rsid w:val="0E833DCE"/>
    <w:rsid w:val="0E8A41F9"/>
    <w:rsid w:val="0EA57056"/>
    <w:rsid w:val="0F4853D5"/>
    <w:rsid w:val="0FC636DD"/>
    <w:rsid w:val="0FCB78C3"/>
    <w:rsid w:val="10E373B4"/>
    <w:rsid w:val="114B7ED0"/>
    <w:rsid w:val="11582778"/>
    <w:rsid w:val="115912A6"/>
    <w:rsid w:val="117E073C"/>
    <w:rsid w:val="11AE3504"/>
    <w:rsid w:val="11E40BCD"/>
    <w:rsid w:val="11EB7710"/>
    <w:rsid w:val="123A47A4"/>
    <w:rsid w:val="12B30BAA"/>
    <w:rsid w:val="12C34DA9"/>
    <w:rsid w:val="143C1FD1"/>
    <w:rsid w:val="145A192A"/>
    <w:rsid w:val="15496EDA"/>
    <w:rsid w:val="15942EDE"/>
    <w:rsid w:val="15EB5653"/>
    <w:rsid w:val="15FA6F13"/>
    <w:rsid w:val="16361726"/>
    <w:rsid w:val="163A037D"/>
    <w:rsid w:val="166E6696"/>
    <w:rsid w:val="16E66CA8"/>
    <w:rsid w:val="174C046B"/>
    <w:rsid w:val="176C1290"/>
    <w:rsid w:val="17EA2F40"/>
    <w:rsid w:val="183C3270"/>
    <w:rsid w:val="18B86087"/>
    <w:rsid w:val="19017E7F"/>
    <w:rsid w:val="190F422A"/>
    <w:rsid w:val="192936E8"/>
    <w:rsid w:val="194C6E9B"/>
    <w:rsid w:val="195717BC"/>
    <w:rsid w:val="195A2BDD"/>
    <w:rsid w:val="19722969"/>
    <w:rsid w:val="1987349C"/>
    <w:rsid w:val="1A0E7E34"/>
    <w:rsid w:val="1A180B7D"/>
    <w:rsid w:val="1A2C457C"/>
    <w:rsid w:val="1A40011C"/>
    <w:rsid w:val="1AA26790"/>
    <w:rsid w:val="1AE13047"/>
    <w:rsid w:val="1AEB7532"/>
    <w:rsid w:val="1B253FC4"/>
    <w:rsid w:val="1B4956BA"/>
    <w:rsid w:val="1B744C1F"/>
    <w:rsid w:val="1B7A78C7"/>
    <w:rsid w:val="1B7D437F"/>
    <w:rsid w:val="1B813302"/>
    <w:rsid w:val="1B8528DC"/>
    <w:rsid w:val="1C1A106A"/>
    <w:rsid w:val="1C2D229A"/>
    <w:rsid w:val="1C73794D"/>
    <w:rsid w:val="1C7951EF"/>
    <w:rsid w:val="1C8431A0"/>
    <w:rsid w:val="1C896B61"/>
    <w:rsid w:val="1CE16D44"/>
    <w:rsid w:val="1D5634AA"/>
    <w:rsid w:val="1D746E38"/>
    <w:rsid w:val="1D766CC4"/>
    <w:rsid w:val="1D820FA4"/>
    <w:rsid w:val="1EFD015E"/>
    <w:rsid w:val="1F260383"/>
    <w:rsid w:val="1F5460F0"/>
    <w:rsid w:val="1FF019A4"/>
    <w:rsid w:val="20322EA0"/>
    <w:rsid w:val="204B5CC8"/>
    <w:rsid w:val="20590A68"/>
    <w:rsid w:val="20807AB5"/>
    <w:rsid w:val="21555C49"/>
    <w:rsid w:val="216831C0"/>
    <w:rsid w:val="217D52CA"/>
    <w:rsid w:val="21885388"/>
    <w:rsid w:val="22077732"/>
    <w:rsid w:val="22346C63"/>
    <w:rsid w:val="225E1795"/>
    <w:rsid w:val="225E2780"/>
    <w:rsid w:val="22694D62"/>
    <w:rsid w:val="22854D21"/>
    <w:rsid w:val="228B188C"/>
    <w:rsid w:val="22963C78"/>
    <w:rsid w:val="22A147B3"/>
    <w:rsid w:val="22AB6CDB"/>
    <w:rsid w:val="23130E25"/>
    <w:rsid w:val="241175A3"/>
    <w:rsid w:val="241C4FF1"/>
    <w:rsid w:val="24835941"/>
    <w:rsid w:val="24A20173"/>
    <w:rsid w:val="24F273E8"/>
    <w:rsid w:val="25AB5D2B"/>
    <w:rsid w:val="25E81FA9"/>
    <w:rsid w:val="264659B5"/>
    <w:rsid w:val="26560C81"/>
    <w:rsid w:val="26834A1B"/>
    <w:rsid w:val="26BA6583"/>
    <w:rsid w:val="26F73B7C"/>
    <w:rsid w:val="27065F86"/>
    <w:rsid w:val="2723051C"/>
    <w:rsid w:val="27A865D8"/>
    <w:rsid w:val="2803519F"/>
    <w:rsid w:val="284D3C58"/>
    <w:rsid w:val="286B4147"/>
    <w:rsid w:val="287A1B1E"/>
    <w:rsid w:val="28E63E5C"/>
    <w:rsid w:val="28FF4D46"/>
    <w:rsid w:val="29207D3C"/>
    <w:rsid w:val="29922E74"/>
    <w:rsid w:val="29C01A77"/>
    <w:rsid w:val="29CC4214"/>
    <w:rsid w:val="29F65DB6"/>
    <w:rsid w:val="29F94F93"/>
    <w:rsid w:val="2A071BA9"/>
    <w:rsid w:val="2A3A0FB3"/>
    <w:rsid w:val="2AAF540F"/>
    <w:rsid w:val="2AF2358C"/>
    <w:rsid w:val="2BFC401A"/>
    <w:rsid w:val="2C1528C5"/>
    <w:rsid w:val="2C8E083D"/>
    <w:rsid w:val="2CD023E0"/>
    <w:rsid w:val="2CDC6F12"/>
    <w:rsid w:val="2D493653"/>
    <w:rsid w:val="2D877F9E"/>
    <w:rsid w:val="2DDE4C68"/>
    <w:rsid w:val="2E071734"/>
    <w:rsid w:val="2E0C0E2B"/>
    <w:rsid w:val="2E536A4B"/>
    <w:rsid w:val="2EDD4538"/>
    <w:rsid w:val="2F281564"/>
    <w:rsid w:val="2F324E90"/>
    <w:rsid w:val="30250174"/>
    <w:rsid w:val="304C46B7"/>
    <w:rsid w:val="3062754D"/>
    <w:rsid w:val="30CA44CA"/>
    <w:rsid w:val="30FB0A86"/>
    <w:rsid w:val="318A3610"/>
    <w:rsid w:val="31A50968"/>
    <w:rsid w:val="31C00FBB"/>
    <w:rsid w:val="31EC3571"/>
    <w:rsid w:val="31F22B35"/>
    <w:rsid w:val="31FB343B"/>
    <w:rsid w:val="328A7073"/>
    <w:rsid w:val="32915FEB"/>
    <w:rsid w:val="32A132A8"/>
    <w:rsid w:val="338D4D55"/>
    <w:rsid w:val="33913E97"/>
    <w:rsid w:val="33C148CD"/>
    <w:rsid w:val="33D73478"/>
    <w:rsid w:val="3423369F"/>
    <w:rsid w:val="353F0D74"/>
    <w:rsid w:val="35E65DBB"/>
    <w:rsid w:val="362F7784"/>
    <w:rsid w:val="3687039A"/>
    <w:rsid w:val="36A12FB7"/>
    <w:rsid w:val="375B6F78"/>
    <w:rsid w:val="377E4FAF"/>
    <w:rsid w:val="378C0E4D"/>
    <w:rsid w:val="37F74061"/>
    <w:rsid w:val="37FF4CA0"/>
    <w:rsid w:val="38336368"/>
    <w:rsid w:val="38451140"/>
    <w:rsid w:val="388914D6"/>
    <w:rsid w:val="38FF4785"/>
    <w:rsid w:val="391956D2"/>
    <w:rsid w:val="39924381"/>
    <w:rsid w:val="39CD587C"/>
    <w:rsid w:val="39D25F5C"/>
    <w:rsid w:val="3A192FC4"/>
    <w:rsid w:val="3A1E5743"/>
    <w:rsid w:val="3A761C72"/>
    <w:rsid w:val="3A7E3686"/>
    <w:rsid w:val="3A856A89"/>
    <w:rsid w:val="3AA52725"/>
    <w:rsid w:val="3ADF02DC"/>
    <w:rsid w:val="3B093F3E"/>
    <w:rsid w:val="3B75129C"/>
    <w:rsid w:val="3B93016E"/>
    <w:rsid w:val="3BCD7EEA"/>
    <w:rsid w:val="3BE96DFC"/>
    <w:rsid w:val="3BEB1D9C"/>
    <w:rsid w:val="3C157B96"/>
    <w:rsid w:val="3C1A1F9D"/>
    <w:rsid w:val="3C6E5321"/>
    <w:rsid w:val="3CAB6E6C"/>
    <w:rsid w:val="3CC124DC"/>
    <w:rsid w:val="3CC1697C"/>
    <w:rsid w:val="3CE541C3"/>
    <w:rsid w:val="3CEC4A76"/>
    <w:rsid w:val="3CFF29C2"/>
    <w:rsid w:val="3D3E4B12"/>
    <w:rsid w:val="3D686F3E"/>
    <w:rsid w:val="3D743ED0"/>
    <w:rsid w:val="3D7E139C"/>
    <w:rsid w:val="3E0D21AC"/>
    <w:rsid w:val="3E5762D2"/>
    <w:rsid w:val="3ECB2C3A"/>
    <w:rsid w:val="3EF1443B"/>
    <w:rsid w:val="3F8C0E31"/>
    <w:rsid w:val="3FCF0252"/>
    <w:rsid w:val="3FD61700"/>
    <w:rsid w:val="40414DCB"/>
    <w:rsid w:val="4047070B"/>
    <w:rsid w:val="40A833A6"/>
    <w:rsid w:val="41354AB5"/>
    <w:rsid w:val="419C3A1D"/>
    <w:rsid w:val="42484D99"/>
    <w:rsid w:val="425036D3"/>
    <w:rsid w:val="428D48B9"/>
    <w:rsid w:val="42BD44F2"/>
    <w:rsid w:val="42E31578"/>
    <w:rsid w:val="432C2862"/>
    <w:rsid w:val="43D93EA9"/>
    <w:rsid w:val="440B2843"/>
    <w:rsid w:val="44714D67"/>
    <w:rsid w:val="44776DF3"/>
    <w:rsid w:val="448722C1"/>
    <w:rsid w:val="44A55F0B"/>
    <w:rsid w:val="44B76F58"/>
    <w:rsid w:val="452279A5"/>
    <w:rsid w:val="453464D4"/>
    <w:rsid w:val="457126AA"/>
    <w:rsid w:val="45747D88"/>
    <w:rsid w:val="45E15256"/>
    <w:rsid w:val="4620132A"/>
    <w:rsid w:val="46727191"/>
    <w:rsid w:val="468A5004"/>
    <w:rsid w:val="468B21D2"/>
    <w:rsid w:val="46C64B00"/>
    <w:rsid w:val="46FE6E3F"/>
    <w:rsid w:val="47212E2F"/>
    <w:rsid w:val="472D62C5"/>
    <w:rsid w:val="47474D62"/>
    <w:rsid w:val="475633AE"/>
    <w:rsid w:val="476C401B"/>
    <w:rsid w:val="47A05CFF"/>
    <w:rsid w:val="48285936"/>
    <w:rsid w:val="48764D7E"/>
    <w:rsid w:val="489171E4"/>
    <w:rsid w:val="490167CF"/>
    <w:rsid w:val="49375140"/>
    <w:rsid w:val="49BC2A2E"/>
    <w:rsid w:val="49E64B99"/>
    <w:rsid w:val="4A1956B4"/>
    <w:rsid w:val="4A263EEA"/>
    <w:rsid w:val="4A563E2D"/>
    <w:rsid w:val="4AF701F9"/>
    <w:rsid w:val="4B306001"/>
    <w:rsid w:val="4B5E4615"/>
    <w:rsid w:val="4B8C105F"/>
    <w:rsid w:val="4BC048DE"/>
    <w:rsid w:val="4BD61401"/>
    <w:rsid w:val="4BED5C2F"/>
    <w:rsid w:val="4BF02D33"/>
    <w:rsid w:val="4C551691"/>
    <w:rsid w:val="4C890AB1"/>
    <w:rsid w:val="4CE97FE4"/>
    <w:rsid w:val="4D007566"/>
    <w:rsid w:val="4D34661C"/>
    <w:rsid w:val="4D3E397E"/>
    <w:rsid w:val="4DA7296C"/>
    <w:rsid w:val="4DD42A7D"/>
    <w:rsid w:val="4E2E79B5"/>
    <w:rsid w:val="4EB978E8"/>
    <w:rsid w:val="4EFD7639"/>
    <w:rsid w:val="4F5937DE"/>
    <w:rsid w:val="4F5D03B0"/>
    <w:rsid w:val="4F984BC2"/>
    <w:rsid w:val="50C600E9"/>
    <w:rsid w:val="5107796B"/>
    <w:rsid w:val="51A76D2A"/>
    <w:rsid w:val="51B63D33"/>
    <w:rsid w:val="51EA7E1F"/>
    <w:rsid w:val="520A206A"/>
    <w:rsid w:val="5243508D"/>
    <w:rsid w:val="527E0B17"/>
    <w:rsid w:val="52D27089"/>
    <w:rsid w:val="52FC2323"/>
    <w:rsid w:val="53040B93"/>
    <w:rsid w:val="530851B0"/>
    <w:rsid w:val="539D41D0"/>
    <w:rsid w:val="53D82714"/>
    <w:rsid w:val="54686A82"/>
    <w:rsid w:val="546D765D"/>
    <w:rsid w:val="546E0210"/>
    <w:rsid w:val="549432AF"/>
    <w:rsid w:val="549A2B64"/>
    <w:rsid w:val="549F301D"/>
    <w:rsid w:val="54E00A9B"/>
    <w:rsid w:val="55096993"/>
    <w:rsid w:val="55FD08AE"/>
    <w:rsid w:val="56656909"/>
    <w:rsid w:val="570B43E2"/>
    <w:rsid w:val="577767DC"/>
    <w:rsid w:val="57804695"/>
    <w:rsid w:val="57917E56"/>
    <w:rsid w:val="584F0C6B"/>
    <w:rsid w:val="589A19AD"/>
    <w:rsid w:val="58EB5465"/>
    <w:rsid w:val="58FE6FEE"/>
    <w:rsid w:val="591D1161"/>
    <w:rsid w:val="5967538A"/>
    <w:rsid w:val="59A350A7"/>
    <w:rsid w:val="59A65848"/>
    <w:rsid w:val="59DC6630"/>
    <w:rsid w:val="59EB22AF"/>
    <w:rsid w:val="5A393FEB"/>
    <w:rsid w:val="5A407B98"/>
    <w:rsid w:val="5AC226A1"/>
    <w:rsid w:val="5B0C70F9"/>
    <w:rsid w:val="5B437214"/>
    <w:rsid w:val="5BB80C08"/>
    <w:rsid w:val="5BF376BD"/>
    <w:rsid w:val="5BF80150"/>
    <w:rsid w:val="5C0E396C"/>
    <w:rsid w:val="5CA37662"/>
    <w:rsid w:val="5D1443AF"/>
    <w:rsid w:val="5D192564"/>
    <w:rsid w:val="5D1F7053"/>
    <w:rsid w:val="5D521205"/>
    <w:rsid w:val="5D5D5D53"/>
    <w:rsid w:val="5D7243BE"/>
    <w:rsid w:val="5DFB6E1E"/>
    <w:rsid w:val="5E040135"/>
    <w:rsid w:val="5E2565AD"/>
    <w:rsid w:val="5E700B74"/>
    <w:rsid w:val="5E9C5112"/>
    <w:rsid w:val="5EBE3702"/>
    <w:rsid w:val="5ECA691C"/>
    <w:rsid w:val="5F002785"/>
    <w:rsid w:val="5F69044E"/>
    <w:rsid w:val="5F6F0273"/>
    <w:rsid w:val="5F8267F3"/>
    <w:rsid w:val="5FB117A9"/>
    <w:rsid w:val="5FB12999"/>
    <w:rsid w:val="5FBB0BC0"/>
    <w:rsid w:val="60013787"/>
    <w:rsid w:val="603B672E"/>
    <w:rsid w:val="604239F4"/>
    <w:rsid w:val="60C607ED"/>
    <w:rsid w:val="611B19AA"/>
    <w:rsid w:val="614C3178"/>
    <w:rsid w:val="6163738B"/>
    <w:rsid w:val="61673207"/>
    <w:rsid w:val="617F386A"/>
    <w:rsid w:val="61A6456E"/>
    <w:rsid w:val="61BE681C"/>
    <w:rsid w:val="61FD5E7A"/>
    <w:rsid w:val="6221558E"/>
    <w:rsid w:val="6275382D"/>
    <w:rsid w:val="62A33171"/>
    <w:rsid w:val="62CB2789"/>
    <w:rsid w:val="63062B01"/>
    <w:rsid w:val="63182051"/>
    <w:rsid w:val="63471E49"/>
    <w:rsid w:val="6348002C"/>
    <w:rsid w:val="634D1A35"/>
    <w:rsid w:val="637B01ED"/>
    <w:rsid w:val="638564A5"/>
    <w:rsid w:val="63BC2175"/>
    <w:rsid w:val="63D95197"/>
    <w:rsid w:val="63ED5BEB"/>
    <w:rsid w:val="64633777"/>
    <w:rsid w:val="64973B99"/>
    <w:rsid w:val="64E96A8A"/>
    <w:rsid w:val="64F12F34"/>
    <w:rsid w:val="64F50BBF"/>
    <w:rsid w:val="65597BAA"/>
    <w:rsid w:val="65707104"/>
    <w:rsid w:val="65743E21"/>
    <w:rsid w:val="658931A7"/>
    <w:rsid w:val="65EA01A3"/>
    <w:rsid w:val="662D121C"/>
    <w:rsid w:val="667D31C9"/>
    <w:rsid w:val="668E55D1"/>
    <w:rsid w:val="66D34F60"/>
    <w:rsid w:val="66DE76B8"/>
    <w:rsid w:val="66E01D84"/>
    <w:rsid w:val="674D13DE"/>
    <w:rsid w:val="67720474"/>
    <w:rsid w:val="67F7183B"/>
    <w:rsid w:val="68070CCE"/>
    <w:rsid w:val="68692773"/>
    <w:rsid w:val="68D22DC9"/>
    <w:rsid w:val="68F77555"/>
    <w:rsid w:val="69132EA1"/>
    <w:rsid w:val="692D1436"/>
    <w:rsid w:val="69772052"/>
    <w:rsid w:val="6994193A"/>
    <w:rsid w:val="699A768B"/>
    <w:rsid w:val="69F623EA"/>
    <w:rsid w:val="6A1523C8"/>
    <w:rsid w:val="6A325DDA"/>
    <w:rsid w:val="6A456D50"/>
    <w:rsid w:val="6A8722D2"/>
    <w:rsid w:val="6ABC1F32"/>
    <w:rsid w:val="6AD57233"/>
    <w:rsid w:val="6AEF54C7"/>
    <w:rsid w:val="6B602A28"/>
    <w:rsid w:val="6BAC7200"/>
    <w:rsid w:val="6BE60CF7"/>
    <w:rsid w:val="6BE77332"/>
    <w:rsid w:val="6C404BCF"/>
    <w:rsid w:val="6C445A75"/>
    <w:rsid w:val="6C46319D"/>
    <w:rsid w:val="6C60303C"/>
    <w:rsid w:val="6CA364BF"/>
    <w:rsid w:val="6CE146C2"/>
    <w:rsid w:val="6CEB60EF"/>
    <w:rsid w:val="6D59295A"/>
    <w:rsid w:val="6D7152C9"/>
    <w:rsid w:val="6E0E7476"/>
    <w:rsid w:val="6E5175B8"/>
    <w:rsid w:val="6EAD7733"/>
    <w:rsid w:val="6EB912AF"/>
    <w:rsid w:val="6EF30063"/>
    <w:rsid w:val="6F021B42"/>
    <w:rsid w:val="6F092D02"/>
    <w:rsid w:val="6F0D6D23"/>
    <w:rsid w:val="6FB37A57"/>
    <w:rsid w:val="6FE76E37"/>
    <w:rsid w:val="6FF435A4"/>
    <w:rsid w:val="701759E1"/>
    <w:rsid w:val="70323B77"/>
    <w:rsid w:val="707334EB"/>
    <w:rsid w:val="70A459CD"/>
    <w:rsid w:val="70D7226D"/>
    <w:rsid w:val="70F27898"/>
    <w:rsid w:val="70F66BA4"/>
    <w:rsid w:val="71265901"/>
    <w:rsid w:val="716B122D"/>
    <w:rsid w:val="716D688F"/>
    <w:rsid w:val="71BF7C4C"/>
    <w:rsid w:val="71FD448F"/>
    <w:rsid w:val="721123C2"/>
    <w:rsid w:val="723B08E3"/>
    <w:rsid w:val="72867298"/>
    <w:rsid w:val="73141AEC"/>
    <w:rsid w:val="732E7DD7"/>
    <w:rsid w:val="7362326F"/>
    <w:rsid w:val="73655276"/>
    <w:rsid w:val="73666D53"/>
    <w:rsid w:val="7378625E"/>
    <w:rsid w:val="739213AA"/>
    <w:rsid w:val="73B0520F"/>
    <w:rsid w:val="73CE6A3E"/>
    <w:rsid w:val="74057BDA"/>
    <w:rsid w:val="7419179C"/>
    <w:rsid w:val="746B3EC9"/>
    <w:rsid w:val="750B0F29"/>
    <w:rsid w:val="7515290F"/>
    <w:rsid w:val="75A61C60"/>
    <w:rsid w:val="75BA56B8"/>
    <w:rsid w:val="76265310"/>
    <w:rsid w:val="770277DC"/>
    <w:rsid w:val="770601D2"/>
    <w:rsid w:val="772F2007"/>
    <w:rsid w:val="77456F4B"/>
    <w:rsid w:val="77992379"/>
    <w:rsid w:val="77BE3BDF"/>
    <w:rsid w:val="77D93B1F"/>
    <w:rsid w:val="77DC6B03"/>
    <w:rsid w:val="77DF18EB"/>
    <w:rsid w:val="78496DE2"/>
    <w:rsid w:val="78605027"/>
    <w:rsid w:val="788879AB"/>
    <w:rsid w:val="78E858CB"/>
    <w:rsid w:val="790229E7"/>
    <w:rsid w:val="79742681"/>
    <w:rsid w:val="7A06790A"/>
    <w:rsid w:val="7A2D442A"/>
    <w:rsid w:val="7A3753E0"/>
    <w:rsid w:val="7A376F38"/>
    <w:rsid w:val="7ABF5C9A"/>
    <w:rsid w:val="7AC35BBA"/>
    <w:rsid w:val="7AD96C36"/>
    <w:rsid w:val="7AFF31DE"/>
    <w:rsid w:val="7B6C1731"/>
    <w:rsid w:val="7B847405"/>
    <w:rsid w:val="7BA15BD9"/>
    <w:rsid w:val="7BA7664C"/>
    <w:rsid w:val="7BB12C18"/>
    <w:rsid w:val="7BB3335F"/>
    <w:rsid w:val="7BB42F7E"/>
    <w:rsid w:val="7BD64D14"/>
    <w:rsid w:val="7CBA231F"/>
    <w:rsid w:val="7CDC50C0"/>
    <w:rsid w:val="7D6211A6"/>
    <w:rsid w:val="7DA857DA"/>
    <w:rsid w:val="7E822A4F"/>
    <w:rsid w:val="7EAC0416"/>
    <w:rsid w:val="7EB53831"/>
    <w:rsid w:val="7EC875C4"/>
    <w:rsid w:val="7F4C0578"/>
    <w:rsid w:val="7FA023A8"/>
    <w:rsid w:val="7FD0349B"/>
    <w:rsid w:val="7FDA2EC5"/>
    <w:rsid w:val="7FEA1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autoRedefine/>
    <w:qFormat/>
    <w:uiPriority w:val="0"/>
    <w:rPr>
      <w:rFonts w:ascii="Times New Roman" w:hAnsi="Times New Roman" w:eastAsia="宋体" w:cs="Times New Roman"/>
      <w:szCs w:val="22"/>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正文文本 字符"/>
    <w:basedOn w:val="6"/>
    <w:link w:val="2"/>
    <w:autoRedefine/>
    <w:qFormat/>
    <w:uiPriority w:val="99"/>
    <w:rPr>
      <w:rFonts w:ascii="Times New Roman" w:hAnsi="Times New Roman" w:eastAsia="宋体" w:cs="Times New Roman"/>
      <w:szCs w:val="22"/>
    </w:rPr>
  </w:style>
  <w:style w:type="character" w:customStyle="1" w:styleId="9">
    <w:name w:val="页眉 字符"/>
    <w:basedOn w:val="6"/>
    <w:link w:val="4"/>
    <w:qFormat/>
    <w:uiPriority w:val="0"/>
    <w:rPr>
      <w:rFonts w:asciiTheme="minorHAnsi" w:hAnsiTheme="minorHAnsi" w:eastAsiaTheme="minorEastAsia" w:cstheme="minorBidi"/>
      <w:kern w:val="2"/>
      <w:sz w:val="18"/>
      <w:szCs w:val="18"/>
    </w:rPr>
  </w:style>
  <w:style w:type="character" w:customStyle="1" w:styleId="10">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3470</Words>
  <Characters>3485</Characters>
  <Lines>28</Lines>
  <Paragraphs>7</Paragraphs>
  <TotalTime>2</TotalTime>
  <ScaleCrop>false</ScaleCrop>
  <LinksUpToDate>false</LinksUpToDate>
  <CharactersWithSpaces>3523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2024-09-23T02:36:00Z</dcterms:created>
  <dc:creator>郭璇</dc:creator>
  <cp:lastModifiedBy>郭璇</cp:lastModifiedBy>
  <cp:lastPrinted>2024-09-27T00:25:00Z</cp:lastPrinted>
  <dcterms:modified xsi:type="dcterms:W3CDTF">2024-09-27T03:23:20Z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C05A39EE01934D6495384A7FDC522579_11</vt:lpwstr>
  </property>
</Properties>
</file>